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481DE762"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DE5429">
              <w:rPr>
                <w:rFonts w:ascii="Arial Black" w:hAnsi="Arial Black" w:cs="David" w:hint="cs"/>
                <w:b/>
                <w:bCs/>
                <w:iCs/>
                <w:color w:val="993300"/>
                <w:sz w:val="48"/>
                <w:szCs w:val="48"/>
                <w:rtl/>
              </w:rPr>
              <w:t>לך-לך</w:t>
            </w:r>
            <w:r w:rsidR="008811EE">
              <w:rPr>
                <w:rFonts w:ascii="Arial Black" w:hAnsi="Arial Black" w:cs="David" w:hint="cs"/>
                <w:b/>
                <w:bCs/>
                <w:iCs/>
                <w:color w:val="993300"/>
                <w:sz w:val="52"/>
                <w:szCs w:val="52"/>
                <w:rtl/>
              </w:rPr>
              <w:t xml:space="preserve"> </w:t>
            </w:r>
            <w:r w:rsidR="00FA505B" w:rsidRPr="00FA505B">
              <w:rPr>
                <w:rFonts w:ascii="Arial Black" w:hAnsi="Arial Black" w:cs="David" w:hint="cs"/>
                <w:b/>
                <w:bCs/>
                <w:iCs/>
                <w:color w:val="993300"/>
                <w:sz w:val="30"/>
                <w:szCs w:val="30"/>
                <w:rtl/>
              </w:rPr>
              <w:t xml:space="preserve"> </w:t>
            </w:r>
            <w:r w:rsidR="001E67B5" w:rsidRPr="00974E3A">
              <w:rPr>
                <w:rFonts w:ascii="Arial Black" w:hAnsi="Arial Black" w:cs="David" w:hint="cs"/>
                <w:b/>
                <w:bCs/>
                <w:iCs/>
                <w:color w:val="993300"/>
                <w:sz w:val="38"/>
                <w:szCs w:val="38"/>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56DE908D" w14:textId="47FBFB60" w:rsidR="00E42494" w:rsidRDefault="00E42494" w:rsidP="00E42494">
            <w:pPr>
              <w:ind w:left="453" w:right="746"/>
              <w:jc w:val="center"/>
              <w:rPr>
                <w:rFonts w:ascii="FrankRuehl" w:hAnsi="FrankRuehl" w:cs="FrankRuehl"/>
                <w:b/>
                <w:bCs/>
                <w:color w:val="0070C0"/>
                <w:sz w:val="32"/>
                <w:szCs w:val="32"/>
                <w:rtl/>
              </w:rPr>
            </w:pPr>
            <w:r w:rsidRPr="00E42494">
              <w:rPr>
                <w:rFonts w:ascii="FrankRuehl" w:hAnsi="FrankRuehl" w:cs="FrankRuehl"/>
                <w:b/>
                <w:bCs/>
                <w:color w:val="0070C0"/>
                <w:sz w:val="32"/>
                <w:szCs w:val="32"/>
                <w:rtl/>
              </w:rPr>
              <w:t xml:space="preserve">לֶךְ </w:t>
            </w:r>
            <w:proofErr w:type="spellStart"/>
            <w:r w:rsidRPr="00E42494">
              <w:rPr>
                <w:rFonts w:ascii="FrankRuehl" w:hAnsi="FrankRuehl" w:cs="FrankRuehl"/>
                <w:b/>
                <w:bCs/>
                <w:color w:val="0070C0"/>
                <w:sz w:val="32"/>
                <w:szCs w:val="32"/>
                <w:rtl/>
              </w:rPr>
              <w:t>לְךָ</w:t>
            </w:r>
            <w:proofErr w:type="spellEnd"/>
            <w:r w:rsidRPr="00E42494">
              <w:rPr>
                <w:rFonts w:ascii="FrankRuehl" w:hAnsi="FrankRuehl" w:cs="FrankRuehl" w:hint="cs"/>
                <w:b/>
                <w:bCs/>
                <w:color w:val="0070C0"/>
                <w:sz w:val="32"/>
                <w:szCs w:val="32"/>
                <w:rtl/>
              </w:rPr>
              <w:t xml:space="preserve"> מחרן ועד הר הבית, מתי המסע יסתיים?</w:t>
            </w:r>
          </w:p>
          <w:p w14:paraId="28E75C5B" w14:textId="160F1E06" w:rsidR="00E42494" w:rsidRPr="00E42494" w:rsidRDefault="00E42494" w:rsidP="00E42494">
            <w:pPr>
              <w:ind w:left="453" w:right="746"/>
              <w:jc w:val="center"/>
              <w:rPr>
                <w:rFonts w:ascii="FrankRuehl" w:hAnsi="FrankRuehl" w:cs="FrankRuehl"/>
                <w:b/>
                <w:bCs/>
                <w:color w:val="0070C0"/>
                <w:sz w:val="8"/>
                <w:szCs w:val="8"/>
                <w:rtl/>
              </w:rPr>
            </w:pPr>
            <w:r w:rsidRPr="00E42494">
              <w:rPr>
                <w:rFonts w:ascii="FrankRuehl" w:hAnsi="FrankRuehl" w:cs="FrankRuehl" w:hint="cs"/>
                <w:b/>
                <w:bCs/>
                <w:color w:val="0070C0"/>
                <w:sz w:val="8"/>
                <w:szCs w:val="8"/>
                <w:rtl/>
              </w:rPr>
              <w:t>--------------------------------------------</w:t>
            </w:r>
            <w:r>
              <w:rPr>
                <w:rFonts w:ascii="FrankRuehl" w:hAnsi="FrankRuehl" w:cs="FrankRuehl" w:hint="cs"/>
                <w:b/>
                <w:bCs/>
                <w:color w:val="0070C0"/>
                <w:sz w:val="8"/>
                <w:szCs w:val="8"/>
                <w:rtl/>
              </w:rPr>
              <w:t>---------------------------------</w:t>
            </w:r>
            <w:r w:rsidRPr="00E42494">
              <w:rPr>
                <w:rFonts w:ascii="FrankRuehl" w:hAnsi="FrankRuehl" w:cs="FrankRuehl" w:hint="cs"/>
                <w:b/>
                <w:bCs/>
                <w:color w:val="0070C0"/>
                <w:sz w:val="8"/>
                <w:szCs w:val="8"/>
                <w:rtl/>
              </w:rPr>
              <w:t>----------------------------------------------------------------------------------------------</w:t>
            </w:r>
          </w:p>
          <w:p w14:paraId="3C30A566" w14:textId="5BD1DDD6" w:rsidR="00313B91" w:rsidRPr="00D037B4" w:rsidRDefault="00E8510C" w:rsidP="00D8573D">
            <w:pPr>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2FF773" w14:textId="77777777" w:rsidR="00D8573D" w:rsidRPr="00D8573D" w:rsidRDefault="00D8573D" w:rsidP="00D8573D">
            <w:pPr>
              <w:spacing w:line="252" w:lineRule="auto"/>
              <w:ind w:left="453" w:right="746"/>
              <w:rPr>
                <w:rFonts w:ascii="David" w:hAnsi="David" w:cs="David"/>
                <w:b/>
                <w:bCs/>
                <w:sz w:val="10"/>
                <w:szCs w:val="10"/>
                <w:rtl/>
              </w:rPr>
            </w:pPr>
          </w:p>
          <w:p w14:paraId="1672128F" w14:textId="5C146319" w:rsidR="00205B55" w:rsidRDefault="00E42494" w:rsidP="00E42494">
            <w:pPr>
              <w:rPr>
                <w:rFonts w:ascii="David" w:hAnsi="David" w:cs="David"/>
                <w:rtl/>
              </w:rPr>
            </w:pPr>
            <w:r w:rsidRPr="00E42494">
              <w:rPr>
                <w:rFonts w:ascii="David" w:hAnsi="David" w:cs="David"/>
                <w:rtl/>
              </w:rPr>
              <w:t xml:space="preserve">הקריאה </w:t>
            </w:r>
            <w:r w:rsidRPr="00205B55">
              <w:rPr>
                <w:rFonts w:ascii="FrankRuehl" w:hAnsi="FrankRuehl" w:cs="FrankRuehl"/>
                <w:sz w:val="25"/>
                <w:szCs w:val="25"/>
                <w:rtl/>
              </w:rPr>
              <w:t xml:space="preserve">"לֶךְ </w:t>
            </w:r>
            <w:proofErr w:type="spellStart"/>
            <w:r w:rsidRPr="00205B55">
              <w:rPr>
                <w:rFonts w:ascii="FrankRuehl" w:hAnsi="FrankRuehl" w:cs="FrankRuehl"/>
                <w:sz w:val="25"/>
                <w:szCs w:val="25"/>
                <w:rtl/>
              </w:rPr>
              <w:t>לְךָ</w:t>
            </w:r>
            <w:proofErr w:type="spellEnd"/>
            <w:r w:rsidRPr="00205B55">
              <w:rPr>
                <w:rFonts w:ascii="FrankRuehl" w:hAnsi="FrankRuehl" w:cs="FrankRuehl"/>
                <w:sz w:val="25"/>
                <w:szCs w:val="25"/>
                <w:rtl/>
              </w:rPr>
              <w:t>",</w:t>
            </w:r>
            <w:r w:rsidRPr="00E42494">
              <w:rPr>
                <w:rFonts w:ascii="David" w:hAnsi="David" w:cs="David"/>
                <w:rtl/>
              </w:rPr>
              <w:t xml:space="preserve"> הראשונה מתוך שתיים בספר בראשית, מופיעה בפתיחה לפרשתנו, והשנייה בפרשה הבאה - וירא, כשאברהם אבינו נקרא לצאת לדרך כדי להקריב את בנו יחידו </w:t>
            </w:r>
            <w:r w:rsidRPr="00205B55">
              <w:rPr>
                <w:rFonts w:ascii="FrankRuehl" w:hAnsi="FrankRuehl" w:cs="FrankRuehl"/>
                <w:sz w:val="25"/>
                <w:szCs w:val="25"/>
                <w:rtl/>
              </w:rPr>
              <w:t>"וְלֶךְ לְךָ אֶל אֶרֶץ הַמֹּרִיָּה וְהַעֲלֵהוּ שָׁם לְעֹלָה עַל אַחַד הֶהָרִים אֲשֶׁר אֹמַר אֵלֶיךָ"</w:t>
            </w:r>
          </w:p>
          <w:p w14:paraId="1F4D1912" w14:textId="35804F61" w:rsidR="00E42494" w:rsidRPr="00E42494" w:rsidRDefault="00E42494" w:rsidP="00205B55">
            <w:pPr>
              <w:jc w:val="right"/>
              <w:rPr>
                <w:rFonts w:ascii="David" w:hAnsi="David" w:cs="David"/>
                <w:rtl/>
              </w:rPr>
            </w:pPr>
            <w:r w:rsidRPr="00E42494">
              <w:rPr>
                <w:rFonts w:ascii="David" w:hAnsi="David" w:cs="David"/>
                <w:rtl/>
              </w:rPr>
              <w:t xml:space="preserve"> </w:t>
            </w:r>
            <w:r w:rsidRPr="00205B55">
              <w:rPr>
                <w:rFonts w:ascii="David" w:hAnsi="David" w:cs="David"/>
                <w:sz w:val="20"/>
                <w:szCs w:val="20"/>
                <w:rtl/>
              </w:rPr>
              <w:t xml:space="preserve">(בראשית </w:t>
            </w:r>
            <w:proofErr w:type="spellStart"/>
            <w:r w:rsidRPr="00205B55">
              <w:rPr>
                <w:rFonts w:ascii="David" w:hAnsi="David" w:cs="David"/>
                <w:sz w:val="20"/>
                <w:szCs w:val="20"/>
                <w:rtl/>
              </w:rPr>
              <w:t>כב</w:t>
            </w:r>
            <w:proofErr w:type="spellEnd"/>
            <w:r w:rsidRPr="00205B55">
              <w:rPr>
                <w:rFonts w:ascii="David" w:hAnsi="David" w:cs="David"/>
                <w:sz w:val="20"/>
                <w:szCs w:val="20"/>
                <w:rtl/>
              </w:rPr>
              <w:t>, ב).</w:t>
            </w:r>
            <w:r w:rsidRPr="00E42494">
              <w:rPr>
                <w:rFonts w:ascii="David" w:hAnsi="David" w:cs="David"/>
                <w:rtl/>
              </w:rPr>
              <w:t xml:space="preserve"> </w:t>
            </w:r>
          </w:p>
          <w:p w14:paraId="6BC784AE" w14:textId="77777777" w:rsidR="00E42494" w:rsidRPr="00E42494" w:rsidRDefault="00E42494" w:rsidP="00E42494">
            <w:pPr>
              <w:rPr>
                <w:rFonts w:ascii="David" w:hAnsi="David" w:cs="David"/>
                <w:rtl/>
              </w:rPr>
            </w:pPr>
            <w:r w:rsidRPr="00E42494">
              <w:rPr>
                <w:rFonts w:ascii="David" w:hAnsi="David" w:cs="David"/>
                <w:rtl/>
              </w:rPr>
              <w:t xml:space="preserve">היכן בדיוק יועלה יצחק על גבי המזבח? לא נתבאר בציווי זה, כשם שלא נתבאר בציווי הראשון, שם מופיע רק באופן כללי </w:t>
            </w:r>
            <w:r w:rsidRPr="00205B55">
              <w:rPr>
                <w:rFonts w:ascii="FrankRuehl" w:hAnsi="FrankRuehl" w:cs="FrankRuehl"/>
                <w:sz w:val="25"/>
                <w:szCs w:val="25"/>
                <w:rtl/>
              </w:rPr>
              <w:t>"אֶל הָאָרֶץ אֲשֶׁר אַרְאֶךָּ"</w:t>
            </w:r>
            <w:r w:rsidRPr="00E42494">
              <w:rPr>
                <w:rFonts w:ascii="David" w:hAnsi="David" w:cs="David"/>
                <w:rtl/>
              </w:rPr>
              <w:t xml:space="preserve"> </w:t>
            </w:r>
            <w:r w:rsidRPr="00205B55">
              <w:rPr>
                <w:rFonts w:ascii="David" w:hAnsi="David" w:cs="David"/>
                <w:sz w:val="20"/>
                <w:szCs w:val="20"/>
                <w:rtl/>
              </w:rPr>
              <w:t xml:space="preserve">(בראשית </w:t>
            </w:r>
            <w:proofErr w:type="spellStart"/>
            <w:r w:rsidRPr="00205B55">
              <w:rPr>
                <w:rFonts w:ascii="David" w:hAnsi="David" w:cs="David"/>
                <w:sz w:val="20"/>
                <w:szCs w:val="20"/>
                <w:rtl/>
              </w:rPr>
              <w:t>יב</w:t>
            </w:r>
            <w:proofErr w:type="spellEnd"/>
            <w:r w:rsidRPr="00205B55">
              <w:rPr>
                <w:rFonts w:ascii="David" w:hAnsi="David" w:cs="David"/>
                <w:sz w:val="20"/>
                <w:szCs w:val="20"/>
                <w:rtl/>
              </w:rPr>
              <w:t>, א).</w:t>
            </w:r>
            <w:r w:rsidRPr="00E42494">
              <w:rPr>
                <w:rFonts w:ascii="David" w:hAnsi="David" w:cs="David"/>
                <w:rtl/>
              </w:rPr>
              <w:t xml:space="preserve"> המקום התגלה רק בימי דוד, כאשר התברר היכן צריך לבנות את המקדש. גם הפסוק שקושר בין עקידת יצחק והר הבית נכתב רק על ימי בנו של דוד, </w:t>
            </w:r>
            <w:r w:rsidRPr="00205B55">
              <w:rPr>
                <w:rFonts w:ascii="FrankRuehl" w:hAnsi="FrankRuehl" w:cs="FrankRuehl"/>
                <w:sz w:val="25"/>
                <w:szCs w:val="25"/>
                <w:rtl/>
              </w:rPr>
              <w:t>"וַיָּחֶל שְׁלֹמֹה לִבְנוֹת אֶת בֵּית ד' בִּירוּשָׁלִַם בְּהַר הַמּוֹרִיָּה אֲשֶׁר נִרְאָה לְדָוִיד אָבִיהוּ אֲשֶׁר הֵכִין בִּמְקוֹם דָּוִיד בְּגֹרֶן אָרְנָן הַיְבוּסִי"</w:t>
            </w:r>
            <w:r w:rsidRPr="00E42494">
              <w:rPr>
                <w:rFonts w:ascii="David" w:hAnsi="David" w:cs="David"/>
                <w:rtl/>
              </w:rPr>
              <w:t xml:space="preserve"> </w:t>
            </w:r>
            <w:r w:rsidRPr="00205B55">
              <w:rPr>
                <w:rFonts w:ascii="David" w:hAnsi="David" w:cs="David"/>
                <w:sz w:val="20"/>
                <w:szCs w:val="20"/>
                <w:rtl/>
              </w:rPr>
              <w:t>(דברי הימים ב' ג, א).</w:t>
            </w:r>
            <w:r w:rsidRPr="00E42494">
              <w:rPr>
                <w:rFonts w:ascii="David" w:hAnsi="David" w:cs="David"/>
                <w:rtl/>
              </w:rPr>
              <w:t xml:space="preserve"> </w:t>
            </w:r>
          </w:p>
          <w:p w14:paraId="6039E971" w14:textId="77777777" w:rsidR="00E42494" w:rsidRPr="00E42494" w:rsidRDefault="00E42494" w:rsidP="00E42494">
            <w:pPr>
              <w:rPr>
                <w:rFonts w:ascii="David" w:hAnsi="David" w:cs="David"/>
                <w:rtl/>
              </w:rPr>
            </w:pPr>
            <w:r w:rsidRPr="00E42494">
              <w:rPr>
                <w:rFonts w:ascii="David" w:hAnsi="David" w:cs="David"/>
                <w:rtl/>
              </w:rPr>
              <w:t xml:space="preserve">כך התברר המיקום המדויק, שם הקב"ה יתגלה אל בניו, בני אברהם יצחק ויעקב </w:t>
            </w:r>
            <w:r w:rsidRPr="00205B55">
              <w:rPr>
                <w:rFonts w:ascii="FrankRuehl" w:hAnsi="FrankRuehl" w:cs="FrankRuehl"/>
                <w:sz w:val="25"/>
                <w:szCs w:val="25"/>
                <w:rtl/>
              </w:rPr>
              <w:t>"וַיִּקְרָא אַבְרָהָם שֵׁם הַמָּקוֹם הַהוּא ד' יִרְאֶה אֲשֶׁר יֵאָמֵר הַיּוֹם בְּהַר ד' יֵרָאֶה"</w:t>
            </w:r>
            <w:r w:rsidRPr="00E42494">
              <w:rPr>
                <w:rFonts w:ascii="David" w:hAnsi="David" w:cs="David"/>
                <w:rtl/>
              </w:rPr>
              <w:t xml:space="preserve"> </w:t>
            </w:r>
            <w:r w:rsidRPr="00205B55">
              <w:rPr>
                <w:rFonts w:ascii="David" w:hAnsi="David" w:cs="David"/>
                <w:sz w:val="20"/>
                <w:szCs w:val="20"/>
                <w:rtl/>
              </w:rPr>
              <w:t xml:space="preserve">(בראשית </w:t>
            </w:r>
            <w:proofErr w:type="spellStart"/>
            <w:r w:rsidRPr="00205B55">
              <w:rPr>
                <w:rFonts w:ascii="David" w:hAnsi="David" w:cs="David"/>
                <w:sz w:val="20"/>
                <w:szCs w:val="20"/>
                <w:rtl/>
              </w:rPr>
              <w:t>כב</w:t>
            </w:r>
            <w:proofErr w:type="spellEnd"/>
            <w:r w:rsidRPr="00205B55">
              <w:rPr>
                <w:rFonts w:ascii="David" w:hAnsi="David" w:cs="David"/>
                <w:sz w:val="20"/>
                <w:szCs w:val="20"/>
                <w:rtl/>
              </w:rPr>
              <w:t>, יד).</w:t>
            </w:r>
            <w:r w:rsidRPr="00E42494">
              <w:rPr>
                <w:rFonts w:ascii="David" w:hAnsi="David" w:cs="David"/>
                <w:rtl/>
              </w:rPr>
              <w:t xml:space="preserve"> </w:t>
            </w:r>
          </w:p>
          <w:p w14:paraId="28BD72FD" w14:textId="77777777" w:rsidR="00E42494" w:rsidRPr="00E42494" w:rsidRDefault="00E42494" w:rsidP="00E42494">
            <w:pPr>
              <w:rPr>
                <w:rFonts w:ascii="David" w:hAnsi="David" w:cs="David"/>
                <w:rtl/>
              </w:rPr>
            </w:pPr>
            <w:r w:rsidRPr="00E42494">
              <w:rPr>
                <w:rFonts w:ascii="David" w:hAnsi="David" w:cs="David"/>
                <w:rtl/>
              </w:rPr>
              <w:t xml:space="preserve">הניסיון הראשון היה "לֶךְ </w:t>
            </w:r>
            <w:proofErr w:type="spellStart"/>
            <w:r w:rsidRPr="00E42494">
              <w:rPr>
                <w:rFonts w:ascii="David" w:hAnsi="David" w:cs="David"/>
                <w:rtl/>
              </w:rPr>
              <w:t>לְךָ</w:t>
            </w:r>
            <w:proofErr w:type="spellEnd"/>
            <w:r w:rsidRPr="00E42494">
              <w:rPr>
                <w:rFonts w:ascii="David" w:hAnsi="David" w:cs="David"/>
                <w:rtl/>
              </w:rPr>
              <w:t xml:space="preserve"> אֶל הָאָרֶץ אֲשֶׁר אַרְאֶךָּ". הניסיון העשירי והאחרון היה </w:t>
            </w:r>
            <w:proofErr w:type="spellStart"/>
            <w:r w:rsidRPr="00E42494">
              <w:rPr>
                <w:rFonts w:ascii="David" w:hAnsi="David" w:cs="David"/>
                <w:rtl/>
              </w:rPr>
              <w:t>ב"</w:t>
            </w:r>
            <w:r w:rsidRPr="00205B55">
              <w:rPr>
                <w:rFonts w:ascii="FrankRuehl" w:hAnsi="FrankRuehl" w:cs="FrankRuehl"/>
                <w:sz w:val="25"/>
                <w:szCs w:val="25"/>
                <w:rtl/>
              </w:rPr>
              <w:t>וְלֶך</w:t>
            </w:r>
            <w:proofErr w:type="spellEnd"/>
            <w:r w:rsidRPr="00205B55">
              <w:rPr>
                <w:rFonts w:ascii="FrankRuehl" w:hAnsi="FrankRuehl" w:cs="FrankRuehl"/>
                <w:sz w:val="25"/>
                <w:szCs w:val="25"/>
                <w:rtl/>
              </w:rPr>
              <w:t>ְ לְךָ אֶל אֶרֶץ הַמֹּרִיָּה וְהַעֲלֵהוּ שָׁם לְעֹלָה עַל אַחַד הֶהָרִים אֲשֶׁר אֹמַר אֵלֶיךָ"</w:t>
            </w:r>
            <w:r w:rsidRPr="00E42494">
              <w:rPr>
                <w:rFonts w:ascii="David" w:hAnsi="David" w:cs="David"/>
                <w:rtl/>
              </w:rPr>
              <w:t xml:space="preserve">. תהליך זה מגדיר את הכיוון והמטרה. </w:t>
            </w:r>
          </w:p>
          <w:p w14:paraId="07492DC8" w14:textId="77777777" w:rsidR="00176F87" w:rsidRDefault="00E42494" w:rsidP="00E42494">
            <w:pPr>
              <w:rPr>
                <w:rFonts w:ascii="David" w:hAnsi="David" w:cs="David"/>
                <w:rtl/>
              </w:rPr>
            </w:pPr>
            <w:r w:rsidRPr="00E42494">
              <w:rPr>
                <w:rFonts w:ascii="David" w:hAnsi="David" w:cs="David"/>
                <w:rtl/>
              </w:rPr>
              <w:t>ניתן לבטא את הרעיון גם בדרך הבאה. מטרת הליכתו של אברהם לארץ ישראל הייתה להגיע אל ראש ההר, שם יעמד בניסיון הקשה מכולם, כדי שבעתיד יזכו בניו 'לראות ולהיראות' במקום זה, מקום השכנת השכינה ולהיות העם היחיד בעולם, עם מופלא שקשור יותר מכל בני האדם אשר על פני האדמה, לבורא עולם "</w:t>
            </w:r>
            <w:proofErr w:type="spellStart"/>
            <w:r w:rsidRPr="00176F87">
              <w:rPr>
                <w:rFonts w:ascii="FrankRuehl" w:hAnsi="FrankRuehl" w:cs="FrankRuehl"/>
                <w:sz w:val="25"/>
                <w:szCs w:val="25"/>
                <w:rtl/>
              </w:rPr>
              <w:t>וְנִפְלִינו</w:t>
            </w:r>
            <w:proofErr w:type="spellEnd"/>
            <w:r w:rsidRPr="00176F87">
              <w:rPr>
                <w:rFonts w:ascii="FrankRuehl" w:hAnsi="FrankRuehl" w:cs="FrankRuehl"/>
                <w:sz w:val="25"/>
                <w:szCs w:val="25"/>
                <w:rtl/>
              </w:rPr>
              <w:t>ּ אֲנִי</w:t>
            </w:r>
            <w:r w:rsidRPr="00E42494">
              <w:rPr>
                <w:rFonts w:ascii="David" w:hAnsi="David" w:cs="David"/>
                <w:rtl/>
              </w:rPr>
              <w:t xml:space="preserve"> </w:t>
            </w:r>
            <w:r w:rsidRPr="00176F87">
              <w:rPr>
                <w:rFonts w:ascii="David" w:hAnsi="David" w:cs="David"/>
                <w:sz w:val="22"/>
                <w:szCs w:val="22"/>
                <w:rtl/>
              </w:rPr>
              <w:t>(משה מקבל התורה)</w:t>
            </w:r>
            <w:r w:rsidRPr="00E42494">
              <w:rPr>
                <w:rFonts w:ascii="David" w:hAnsi="David" w:cs="David"/>
                <w:rtl/>
              </w:rPr>
              <w:t xml:space="preserve"> </w:t>
            </w:r>
            <w:r w:rsidRPr="00205B55">
              <w:rPr>
                <w:rFonts w:ascii="FrankRuehl" w:hAnsi="FrankRuehl" w:cs="FrankRuehl"/>
                <w:sz w:val="25"/>
                <w:szCs w:val="25"/>
                <w:rtl/>
              </w:rPr>
              <w:t>וְעַמְּךָ מִכָּל הָעָם אֲשֶׁר עַל פְּנֵי הָאֲדָמָה"</w:t>
            </w:r>
            <w:r w:rsidRPr="00E42494">
              <w:rPr>
                <w:rFonts w:ascii="David" w:hAnsi="David" w:cs="David"/>
                <w:rtl/>
              </w:rPr>
              <w:t xml:space="preserve"> </w:t>
            </w:r>
          </w:p>
          <w:p w14:paraId="06F10CB6" w14:textId="1E824977" w:rsidR="00E42494" w:rsidRPr="00E42494" w:rsidRDefault="00E42494" w:rsidP="00176F87">
            <w:pPr>
              <w:jc w:val="right"/>
              <w:rPr>
                <w:rFonts w:ascii="David" w:hAnsi="David" w:cs="David"/>
                <w:rtl/>
              </w:rPr>
            </w:pPr>
            <w:r w:rsidRPr="00205B55">
              <w:rPr>
                <w:rFonts w:ascii="David" w:hAnsi="David" w:cs="David"/>
                <w:sz w:val="20"/>
                <w:szCs w:val="20"/>
                <w:rtl/>
              </w:rPr>
              <w:t xml:space="preserve">(שמות לג, </w:t>
            </w:r>
            <w:proofErr w:type="spellStart"/>
            <w:r w:rsidRPr="00205B55">
              <w:rPr>
                <w:rFonts w:ascii="David" w:hAnsi="David" w:cs="David"/>
                <w:sz w:val="20"/>
                <w:szCs w:val="20"/>
                <w:rtl/>
              </w:rPr>
              <w:t>טז</w:t>
            </w:r>
            <w:proofErr w:type="spellEnd"/>
            <w:r w:rsidRPr="00205B55">
              <w:rPr>
                <w:rFonts w:ascii="David" w:hAnsi="David" w:cs="David"/>
                <w:sz w:val="20"/>
                <w:szCs w:val="20"/>
                <w:rtl/>
              </w:rPr>
              <w:t>).</w:t>
            </w:r>
          </w:p>
          <w:p w14:paraId="68814974" w14:textId="77777777" w:rsidR="00E42494" w:rsidRPr="00E42494" w:rsidRDefault="00E42494" w:rsidP="00E42494">
            <w:pPr>
              <w:rPr>
                <w:rFonts w:ascii="David" w:hAnsi="David" w:cs="David"/>
                <w:rtl/>
              </w:rPr>
            </w:pPr>
            <w:r w:rsidRPr="00E42494">
              <w:rPr>
                <w:rFonts w:ascii="David" w:hAnsi="David" w:cs="David"/>
                <w:rtl/>
              </w:rPr>
              <w:t xml:space="preserve">הכתוב רומז על הקשר בין עקידת יצחק למציאת המקום בימי דוד, תוך שימוש בלשונות קשורים ואזכורים חוזרים. </w:t>
            </w:r>
          </w:p>
          <w:p w14:paraId="42EBCED7" w14:textId="77777777" w:rsidR="00E42494" w:rsidRPr="00E42494" w:rsidRDefault="00E42494" w:rsidP="00E42494">
            <w:pPr>
              <w:rPr>
                <w:rFonts w:ascii="David" w:hAnsi="David" w:cs="David"/>
                <w:rtl/>
              </w:rPr>
            </w:pPr>
            <w:r w:rsidRPr="00E42494">
              <w:rPr>
                <w:rFonts w:ascii="David" w:hAnsi="David" w:cs="David"/>
                <w:rtl/>
              </w:rPr>
              <w:t xml:space="preserve">נפרט חלק מהם: </w:t>
            </w:r>
          </w:p>
          <w:p w14:paraId="6B6AF6EE" w14:textId="77777777" w:rsidR="00E42494" w:rsidRPr="00E42494" w:rsidRDefault="00E42494" w:rsidP="00E42494">
            <w:pPr>
              <w:tabs>
                <w:tab w:val="left" w:pos="284"/>
              </w:tabs>
              <w:ind w:left="284" w:hanging="284"/>
              <w:rPr>
                <w:rFonts w:ascii="David" w:hAnsi="David" w:cs="David"/>
                <w:rtl/>
              </w:rPr>
            </w:pPr>
            <w:r w:rsidRPr="00E42494">
              <w:rPr>
                <w:rFonts w:ascii="David" w:hAnsi="David" w:cs="David"/>
                <w:rtl/>
              </w:rPr>
              <w:t xml:space="preserve">א.  בשני המאורעות בונים מזבח ומעלים עליו עולה, </w:t>
            </w:r>
            <w:r w:rsidRPr="00205B55">
              <w:rPr>
                <w:rFonts w:ascii="FrankRuehl" w:hAnsi="FrankRuehl" w:cs="FrankRuehl"/>
                <w:sz w:val="25"/>
                <w:szCs w:val="25"/>
                <w:rtl/>
              </w:rPr>
              <w:t>"</w:t>
            </w:r>
            <w:proofErr w:type="spellStart"/>
            <w:r w:rsidRPr="00205B55">
              <w:rPr>
                <w:rFonts w:ascii="FrankRuehl" w:hAnsi="FrankRuehl" w:cs="FrankRuehl"/>
                <w:b/>
                <w:bCs/>
                <w:sz w:val="25"/>
                <w:szCs w:val="25"/>
                <w:rtl/>
              </w:rPr>
              <w:t>וַיִּבֶן</w:t>
            </w:r>
            <w:proofErr w:type="spellEnd"/>
            <w:r w:rsidRPr="00205B55">
              <w:rPr>
                <w:rFonts w:ascii="FrankRuehl" w:hAnsi="FrankRuehl" w:cs="FrankRuehl"/>
                <w:b/>
                <w:bCs/>
                <w:sz w:val="25"/>
                <w:szCs w:val="25"/>
                <w:rtl/>
              </w:rPr>
              <w:t xml:space="preserve"> שָׁם אַבְרָהָם</w:t>
            </w:r>
            <w:r w:rsidRPr="00205B55">
              <w:rPr>
                <w:rFonts w:ascii="FrankRuehl" w:hAnsi="FrankRuehl" w:cs="FrankRuehl"/>
                <w:sz w:val="25"/>
                <w:szCs w:val="25"/>
                <w:rtl/>
              </w:rPr>
              <w:t xml:space="preserve"> אֶת </w:t>
            </w:r>
            <w:r w:rsidRPr="00205B55">
              <w:rPr>
                <w:rFonts w:ascii="FrankRuehl" w:hAnsi="FrankRuehl" w:cs="FrankRuehl"/>
                <w:b/>
                <w:bCs/>
                <w:sz w:val="25"/>
                <w:szCs w:val="25"/>
                <w:rtl/>
              </w:rPr>
              <w:t>הַמִּזְבֵּחַ</w:t>
            </w:r>
            <w:r w:rsidRPr="00205B55">
              <w:rPr>
                <w:rFonts w:ascii="FrankRuehl" w:hAnsi="FrankRuehl" w:cs="FrankRuehl"/>
                <w:sz w:val="25"/>
                <w:szCs w:val="25"/>
                <w:rtl/>
              </w:rPr>
              <w:t xml:space="preserve"> ... </w:t>
            </w:r>
            <w:proofErr w:type="spellStart"/>
            <w:r w:rsidRPr="00205B55">
              <w:rPr>
                <w:rFonts w:ascii="FrankRuehl" w:hAnsi="FrankRuehl" w:cs="FrankRuehl"/>
                <w:sz w:val="25"/>
                <w:szCs w:val="25"/>
                <w:rtl/>
              </w:rPr>
              <w:t>וַיִּקַּח</w:t>
            </w:r>
            <w:proofErr w:type="spellEnd"/>
            <w:r w:rsidRPr="00205B55">
              <w:rPr>
                <w:rFonts w:ascii="FrankRuehl" w:hAnsi="FrankRuehl" w:cs="FrankRuehl"/>
                <w:sz w:val="25"/>
                <w:szCs w:val="25"/>
                <w:rtl/>
              </w:rPr>
              <w:t xml:space="preserve"> אֶת הָאַיִל </w:t>
            </w:r>
            <w:r w:rsidRPr="00205B55">
              <w:rPr>
                <w:rFonts w:ascii="FrankRuehl" w:hAnsi="FrankRuehl" w:cs="FrankRuehl"/>
                <w:b/>
                <w:bCs/>
                <w:sz w:val="25"/>
                <w:szCs w:val="25"/>
                <w:rtl/>
              </w:rPr>
              <w:t>וַיַּעֲלֵהוּ לְעֹלָה</w:t>
            </w:r>
            <w:r w:rsidRPr="00205B55">
              <w:rPr>
                <w:rFonts w:ascii="FrankRuehl" w:hAnsi="FrankRuehl" w:cs="FrankRuehl"/>
                <w:sz w:val="25"/>
                <w:szCs w:val="25"/>
                <w:rtl/>
              </w:rPr>
              <w:t>"</w:t>
            </w:r>
            <w:r w:rsidRPr="00E42494">
              <w:rPr>
                <w:rFonts w:ascii="David" w:hAnsi="David" w:cs="David"/>
                <w:rtl/>
              </w:rPr>
              <w:t xml:space="preserve"> </w:t>
            </w:r>
            <w:r w:rsidRPr="00205B55">
              <w:rPr>
                <w:rFonts w:ascii="David" w:hAnsi="David" w:cs="David"/>
                <w:sz w:val="20"/>
                <w:szCs w:val="20"/>
                <w:rtl/>
              </w:rPr>
              <w:t xml:space="preserve">(שם </w:t>
            </w:r>
            <w:proofErr w:type="spellStart"/>
            <w:r w:rsidRPr="00205B55">
              <w:rPr>
                <w:rFonts w:ascii="David" w:hAnsi="David" w:cs="David"/>
                <w:sz w:val="20"/>
                <w:szCs w:val="20"/>
                <w:rtl/>
              </w:rPr>
              <w:t>כב</w:t>
            </w:r>
            <w:proofErr w:type="spellEnd"/>
            <w:r w:rsidRPr="00205B55">
              <w:rPr>
                <w:rFonts w:ascii="David" w:hAnsi="David" w:cs="David"/>
                <w:sz w:val="20"/>
                <w:szCs w:val="20"/>
                <w:rtl/>
              </w:rPr>
              <w:t xml:space="preserve">, ט </w:t>
            </w:r>
            <w:proofErr w:type="spellStart"/>
            <w:r w:rsidRPr="00205B55">
              <w:rPr>
                <w:rFonts w:ascii="David" w:hAnsi="David" w:cs="David"/>
                <w:sz w:val="20"/>
                <w:szCs w:val="20"/>
                <w:rtl/>
              </w:rPr>
              <w:t>ויג</w:t>
            </w:r>
            <w:proofErr w:type="spellEnd"/>
            <w:r w:rsidRPr="00205B55">
              <w:rPr>
                <w:rFonts w:ascii="David" w:hAnsi="David" w:cs="David"/>
                <w:sz w:val="20"/>
                <w:szCs w:val="20"/>
                <w:rtl/>
              </w:rPr>
              <w:t>),</w:t>
            </w:r>
            <w:r w:rsidRPr="00E42494">
              <w:rPr>
                <w:rFonts w:ascii="David" w:hAnsi="David" w:cs="David"/>
                <w:rtl/>
              </w:rPr>
              <w:t xml:space="preserve"> </w:t>
            </w:r>
            <w:r w:rsidRPr="00205B55">
              <w:rPr>
                <w:rFonts w:ascii="FrankRuehl" w:hAnsi="FrankRuehl" w:cs="FrankRuehl"/>
                <w:sz w:val="25"/>
                <w:szCs w:val="25"/>
                <w:rtl/>
              </w:rPr>
              <w:t>"</w:t>
            </w:r>
            <w:proofErr w:type="spellStart"/>
            <w:r w:rsidRPr="00205B55">
              <w:rPr>
                <w:rFonts w:ascii="FrankRuehl" w:hAnsi="FrankRuehl" w:cs="FrankRuehl"/>
                <w:b/>
                <w:bCs/>
                <w:sz w:val="25"/>
                <w:szCs w:val="25"/>
                <w:rtl/>
              </w:rPr>
              <w:t>וַיִּבֶן</w:t>
            </w:r>
            <w:proofErr w:type="spellEnd"/>
            <w:r w:rsidRPr="00205B55">
              <w:rPr>
                <w:rFonts w:ascii="FrankRuehl" w:hAnsi="FrankRuehl" w:cs="FrankRuehl"/>
                <w:b/>
                <w:bCs/>
                <w:sz w:val="25"/>
                <w:szCs w:val="25"/>
                <w:rtl/>
              </w:rPr>
              <w:t xml:space="preserve"> שָׁם דָּוִיד מִזְבֵּחַ</w:t>
            </w:r>
            <w:r w:rsidRPr="00205B55">
              <w:rPr>
                <w:rFonts w:ascii="FrankRuehl" w:hAnsi="FrankRuehl" w:cs="FrankRuehl"/>
                <w:sz w:val="25"/>
                <w:szCs w:val="25"/>
                <w:rtl/>
              </w:rPr>
              <w:t xml:space="preserve"> לַיקֹוָק </w:t>
            </w:r>
            <w:r w:rsidRPr="00205B55">
              <w:rPr>
                <w:rFonts w:ascii="FrankRuehl" w:hAnsi="FrankRuehl" w:cs="FrankRuehl"/>
                <w:b/>
                <w:bCs/>
                <w:sz w:val="25"/>
                <w:szCs w:val="25"/>
                <w:rtl/>
              </w:rPr>
              <w:t>וַיַּעַל עֹלוֹת</w:t>
            </w:r>
            <w:r w:rsidRPr="00205B55">
              <w:rPr>
                <w:rFonts w:ascii="FrankRuehl" w:hAnsi="FrankRuehl" w:cs="FrankRuehl"/>
                <w:sz w:val="25"/>
                <w:szCs w:val="25"/>
                <w:rtl/>
              </w:rPr>
              <w:t xml:space="preserve"> וּשְׁלָמִים ...</w:t>
            </w:r>
            <w:r w:rsidRPr="00E42494">
              <w:rPr>
                <w:rFonts w:ascii="David" w:hAnsi="David" w:cs="David"/>
                <w:rtl/>
              </w:rPr>
              <w:t xml:space="preserve"> </w:t>
            </w:r>
            <w:r w:rsidRPr="00205B55">
              <w:rPr>
                <w:rFonts w:ascii="FrankRuehl" w:hAnsi="FrankRuehl" w:cs="FrankRuehl"/>
                <w:b/>
                <w:bCs/>
                <w:sz w:val="25"/>
                <w:szCs w:val="25"/>
                <w:rtl/>
              </w:rPr>
              <w:t>עַל מִזְבַּח הָעֹלָה</w:t>
            </w:r>
            <w:r w:rsidRPr="00205B55">
              <w:rPr>
                <w:rFonts w:ascii="FrankRuehl" w:hAnsi="FrankRuehl" w:cs="FrankRuehl"/>
                <w:sz w:val="25"/>
                <w:szCs w:val="25"/>
                <w:rtl/>
              </w:rPr>
              <w:t>"</w:t>
            </w:r>
            <w:r w:rsidRPr="00E42494">
              <w:rPr>
                <w:rFonts w:ascii="David" w:hAnsi="David" w:cs="David"/>
                <w:rtl/>
              </w:rPr>
              <w:t xml:space="preserve"> </w:t>
            </w:r>
            <w:r w:rsidRPr="00205B55">
              <w:rPr>
                <w:rFonts w:ascii="David" w:hAnsi="David" w:cs="David"/>
                <w:sz w:val="20"/>
                <w:szCs w:val="20"/>
                <w:rtl/>
              </w:rPr>
              <w:t>(</w:t>
            </w:r>
            <w:proofErr w:type="spellStart"/>
            <w:r w:rsidRPr="00205B55">
              <w:rPr>
                <w:rFonts w:ascii="David" w:hAnsi="David" w:cs="David"/>
                <w:sz w:val="20"/>
                <w:szCs w:val="20"/>
                <w:rtl/>
              </w:rPr>
              <w:t>שמו"ב</w:t>
            </w:r>
            <w:proofErr w:type="spellEnd"/>
            <w:r w:rsidRPr="00205B55">
              <w:rPr>
                <w:rFonts w:ascii="David" w:hAnsi="David" w:cs="David"/>
                <w:sz w:val="20"/>
                <w:szCs w:val="20"/>
                <w:rtl/>
              </w:rPr>
              <w:t xml:space="preserve"> כד, כה). </w:t>
            </w:r>
          </w:p>
          <w:p w14:paraId="018FE6BA" w14:textId="77777777" w:rsidR="00E42494" w:rsidRPr="00E42494" w:rsidRDefault="00E42494" w:rsidP="00E42494">
            <w:pPr>
              <w:tabs>
                <w:tab w:val="left" w:pos="284"/>
              </w:tabs>
              <w:ind w:left="284" w:hanging="284"/>
              <w:rPr>
                <w:rFonts w:ascii="David" w:hAnsi="David" w:cs="David"/>
                <w:rtl/>
              </w:rPr>
            </w:pPr>
            <w:r w:rsidRPr="00E42494">
              <w:rPr>
                <w:rFonts w:ascii="David" w:hAnsi="David" w:cs="David"/>
                <w:rtl/>
              </w:rPr>
              <w:t xml:space="preserve">ב. </w:t>
            </w:r>
            <w:r w:rsidRPr="00E42494">
              <w:rPr>
                <w:rFonts w:ascii="David" w:hAnsi="David" w:cs="David"/>
                <w:rtl/>
              </w:rPr>
              <w:tab/>
              <w:t xml:space="preserve">בשני המקרים הקב"ה הוא זה שקובע את מקום בניית המזבח.  </w:t>
            </w:r>
          </w:p>
          <w:p w14:paraId="08930E2B" w14:textId="77777777" w:rsidR="00E42494" w:rsidRPr="00E42494" w:rsidRDefault="00E42494" w:rsidP="00E42494">
            <w:pPr>
              <w:tabs>
                <w:tab w:val="left" w:pos="284"/>
              </w:tabs>
              <w:ind w:left="284" w:hanging="284"/>
              <w:rPr>
                <w:rFonts w:ascii="David" w:hAnsi="David" w:cs="David"/>
                <w:rtl/>
              </w:rPr>
            </w:pPr>
            <w:r w:rsidRPr="00E42494">
              <w:rPr>
                <w:rFonts w:ascii="David" w:hAnsi="David" w:cs="David"/>
                <w:rtl/>
              </w:rPr>
              <w:t xml:space="preserve">ג. </w:t>
            </w:r>
            <w:r w:rsidRPr="00E42494">
              <w:rPr>
                <w:rFonts w:ascii="David" w:hAnsi="David" w:cs="David"/>
                <w:rtl/>
              </w:rPr>
              <w:tab/>
              <w:t xml:space="preserve">בשני המאורעות המלאך מופיע, </w:t>
            </w:r>
            <w:r w:rsidRPr="00205B55">
              <w:rPr>
                <w:rFonts w:ascii="FrankRuehl" w:hAnsi="FrankRuehl" w:cs="FrankRuehl"/>
                <w:sz w:val="25"/>
                <w:szCs w:val="25"/>
                <w:rtl/>
              </w:rPr>
              <w:t>"וַיִּקְרָא אֵלָיו</w:t>
            </w:r>
            <w:r w:rsidRPr="00205B55">
              <w:rPr>
                <w:rFonts w:ascii="FrankRuehl" w:hAnsi="FrankRuehl" w:cs="FrankRuehl"/>
                <w:b/>
                <w:bCs/>
                <w:sz w:val="25"/>
                <w:szCs w:val="25"/>
                <w:rtl/>
              </w:rPr>
              <w:t xml:space="preserve"> מַלְאַךְ ד'</w:t>
            </w:r>
            <w:r w:rsidRPr="00205B55">
              <w:rPr>
                <w:rFonts w:ascii="FrankRuehl" w:hAnsi="FrankRuehl" w:cs="FrankRuehl"/>
                <w:sz w:val="25"/>
                <w:szCs w:val="25"/>
                <w:rtl/>
              </w:rPr>
              <w:t xml:space="preserve"> מִן </w:t>
            </w:r>
            <w:r w:rsidRPr="00205B55">
              <w:rPr>
                <w:rFonts w:ascii="FrankRuehl" w:hAnsi="FrankRuehl" w:cs="FrankRuehl"/>
                <w:b/>
                <w:bCs/>
                <w:sz w:val="25"/>
                <w:szCs w:val="25"/>
                <w:rtl/>
              </w:rPr>
              <w:t>הַשָּׁמַיִם</w:t>
            </w:r>
            <w:r w:rsidRPr="00205B55">
              <w:rPr>
                <w:rFonts w:ascii="FrankRuehl" w:hAnsi="FrankRuehl" w:cs="FrankRuehl"/>
                <w:sz w:val="25"/>
                <w:szCs w:val="25"/>
                <w:rtl/>
              </w:rPr>
              <w:t>"</w:t>
            </w:r>
            <w:r w:rsidRPr="00E42494">
              <w:rPr>
                <w:rFonts w:ascii="David" w:hAnsi="David" w:cs="David"/>
                <w:rtl/>
              </w:rPr>
              <w:t xml:space="preserve"> </w:t>
            </w:r>
            <w:r w:rsidRPr="00205B55">
              <w:rPr>
                <w:rFonts w:ascii="David" w:hAnsi="David" w:cs="David"/>
                <w:sz w:val="20"/>
                <w:szCs w:val="20"/>
                <w:rtl/>
              </w:rPr>
              <w:t xml:space="preserve">(בראשית </w:t>
            </w:r>
            <w:proofErr w:type="spellStart"/>
            <w:r w:rsidRPr="00205B55">
              <w:rPr>
                <w:rFonts w:ascii="David" w:hAnsi="David" w:cs="David"/>
                <w:sz w:val="20"/>
                <w:szCs w:val="20"/>
                <w:rtl/>
              </w:rPr>
              <w:t>כב</w:t>
            </w:r>
            <w:proofErr w:type="spellEnd"/>
            <w:r w:rsidRPr="00205B55">
              <w:rPr>
                <w:rFonts w:ascii="David" w:hAnsi="David" w:cs="David"/>
                <w:sz w:val="20"/>
                <w:szCs w:val="20"/>
                <w:rtl/>
              </w:rPr>
              <w:t>, יא וכן שם טו)</w:t>
            </w:r>
            <w:r w:rsidRPr="00E42494">
              <w:rPr>
                <w:rFonts w:ascii="David" w:hAnsi="David" w:cs="David"/>
                <w:rtl/>
              </w:rPr>
              <w:t xml:space="preserve"> </w:t>
            </w:r>
            <w:r w:rsidRPr="00205B55">
              <w:rPr>
                <w:rFonts w:ascii="FrankRuehl" w:hAnsi="FrankRuehl" w:cs="FrankRuehl"/>
                <w:sz w:val="25"/>
                <w:szCs w:val="25"/>
                <w:rtl/>
              </w:rPr>
              <w:t>"</w:t>
            </w:r>
            <w:proofErr w:type="spellStart"/>
            <w:r w:rsidRPr="00205B55">
              <w:rPr>
                <w:rFonts w:ascii="FrankRuehl" w:hAnsi="FrankRuehl" w:cs="FrankRuehl"/>
                <w:sz w:val="25"/>
                <w:szCs w:val="25"/>
                <w:rtl/>
              </w:rPr>
              <w:t>וַיִּשָּׂא</w:t>
            </w:r>
            <w:proofErr w:type="spellEnd"/>
            <w:r w:rsidRPr="00205B55">
              <w:rPr>
                <w:rFonts w:ascii="FrankRuehl" w:hAnsi="FrankRuehl" w:cs="FrankRuehl"/>
                <w:sz w:val="25"/>
                <w:szCs w:val="25"/>
                <w:rtl/>
              </w:rPr>
              <w:t xml:space="preserve"> דָוִיד אֶת עֵינָיו וַיַּרְא אֶת </w:t>
            </w:r>
            <w:r w:rsidRPr="00205B55">
              <w:rPr>
                <w:rFonts w:ascii="FrankRuehl" w:hAnsi="FrankRuehl" w:cs="FrankRuehl"/>
                <w:b/>
                <w:bCs/>
                <w:sz w:val="25"/>
                <w:szCs w:val="25"/>
                <w:rtl/>
              </w:rPr>
              <w:t>מַלְאַךְ ד'</w:t>
            </w:r>
            <w:r w:rsidRPr="00205B55">
              <w:rPr>
                <w:rFonts w:ascii="FrankRuehl" w:hAnsi="FrankRuehl" w:cs="FrankRuehl"/>
                <w:sz w:val="25"/>
                <w:szCs w:val="25"/>
                <w:rtl/>
              </w:rPr>
              <w:t xml:space="preserve"> עֹמֵד בֵּין הָאָרֶץ וּבֵין</w:t>
            </w:r>
            <w:r w:rsidRPr="00205B55">
              <w:rPr>
                <w:rFonts w:ascii="FrankRuehl" w:hAnsi="FrankRuehl" w:cs="FrankRuehl"/>
                <w:b/>
                <w:bCs/>
                <w:sz w:val="25"/>
                <w:szCs w:val="25"/>
                <w:rtl/>
              </w:rPr>
              <w:t xml:space="preserve"> הַשָּׁמַיִם</w:t>
            </w:r>
            <w:r w:rsidRPr="00205B55">
              <w:rPr>
                <w:rFonts w:ascii="FrankRuehl" w:hAnsi="FrankRuehl" w:cs="FrankRuehl"/>
                <w:sz w:val="25"/>
                <w:szCs w:val="25"/>
                <w:rtl/>
              </w:rPr>
              <w:t>"</w:t>
            </w:r>
            <w:r w:rsidRPr="00E42494">
              <w:rPr>
                <w:rFonts w:ascii="David" w:hAnsi="David" w:cs="David"/>
                <w:rtl/>
              </w:rPr>
              <w:t xml:space="preserve"> </w:t>
            </w:r>
            <w:r w:rsidRPr="00205B55">
              <w:rPr>
                <w:rFonts w:ascii="David" w:hAnsi="David" w:cs="David"/>
                <w:sz w:val="20"/>
                <w:szCs w:val="20"/>
                <w:rtl/>
              </w:rPr>
              <w:t>(</w:t>
            </w:r>
            <w:proofErr w:type="spellStart"/>
            <w:r w:rsidRPr="00205B55">
              <w:rPr>
                <w:rFonts w:ascii="David" w:hAnsi="David" w:cs="David"/>
                <w:sz w:val="20"/>
                <w:szCs w:val="20"/>
                <w:rtl/>
              </w:rPr>
              <w:t>דבהי"א</w:t>
            </w:r>
            <w:proofErr w:type="spellEnd"/>
            <w:r w:rsidRPr="00205B55">
              <w:rPr>
                <w:rFonts w:ascii="David" w:hAnsi="David" w:cs="David"/>
                <w:sz w:val="20"/>
                <w:szCs w:val="20"/>
                <w:rtl/>
              </w:rPr>
              <w:t xml:space="preserve"> </w:t>
            </w:r>
            <w:proofErr w:type="spellStart"/>
            <w:r w:rsidRPr="00205B55">
              <w:rPr>
                <w:rFonts w:ascii="David" w:hAnsi="David" w:cs="David"/>
                <w:sz w:val="20"/>
                <w:szCs w:val="20"/>
                <w:rtl/>
              </w:rPr>
              <w:t>כא</w:t>
            </w:r>
            <w:proofErr w:type="spellEnd"/>
            <w:r w:rsidRPr="00205B55">
              <w:rPr>
                <w:rFonts w:ascii="David" w:hAnsi="David" w:cs="David"/>
                <w:sz w:val="20"/>
                <w:szCs w:val="20"/>
                <w:rtl/>
              </w:rPr>
              <w:t xml:space="preserve">, </w:t>
            </w:r>
            <w:proofErr w:type="spellStart"/>
            <w:r w:rsidRPr="00205B55">
              <w:rPr>
                <w:rFonts w:ascii="David" w:hAnsi="David" w:cs="David"/>
                <w:sz w:val="20"/>
                <w:szCs w:val="20"/>
                <w:rtl/>
              </w:rPr>
              <w:t>טז</w:t>
            </w:r>
            <w:proofErr w:type="spellEnd"/>
            <w:r w:rsidRPr="00205B55">
              <w:rPr>
                <w:rFonts w:ascii="David" w:hAnsi="David" w:cs="David"/>
                <w:sz w:val="20"/>
                <w:szCs w:val="20"/>
                <w:rtl/>
              </w:rPr>
              <w:t>).</w:t>
            </w:r>
            <w:r w:rsidRPr="00E42494">
              <w:rPr>
                <w:rFonts w:ascii="David" w:hAnsi="David" w:cs="David"/>
                <w:rtl/>
              </w:rPr>
              <w:t xml:space="preserve"> </w:t>
            </w:r>
          </w:p>
          <w:p w14:paraId="0C933BA0" w14:textId="78500475" w:rsidR="00E42494" w:rsidRPr="00E42494" w:rsidRDefault="00E42494" w:rsidP="00E42494">
            <w:pPr>
              <w:tabs>
                <w:tab w:val="left" w:pos="284"/>
              </w:tabs>
              <w:ind w:left="284" w:hanging="284"/>
              <w:rPr>
                <w:rFonts w:ascii="David" w:hAnsi="David" w:cs="David"/>
                <w:rtl/>
              </w:rPr>
            </w:pPr>
            <w:r w:rsidRPr="00E42494">
              <w:rPr>
                <w:rFonts w:ascii="David" w:hAnsi="David" w:cs="David"/>
                <w:rtl/>
              </w:rPr>
              <w:t xml:space="preserve">ד. </w:t>
            </w:r>
            <w:r w:rsidRPr="00E42494">
              <w:rPr>
                <w:rFonts w:ascii="David" w:hAnsi="David" w:cs="David"/>
                <w:rtl/>
              </w:rPr>
              <w:tab/>
              <w:t xml:space="preserve">גם אברהם וגם דוד פועלים בבוקר </w:t>
            </w:r>
            <w:r w:rsidRPr="00205B55">
              <w:rPr>
                <w:rFonts w:ascii="FrankRuehl" w:hAnsi="FrankRuehl" w:cs="FrankRuehl"/>
                <w:sz w:val="25"/>
                <w:szCs w:val="25"/>
                <w:rtl/>
              </w:rPr>
              <w:t>"</w:t>
            </w:r>
            <w:proofErr w:type="spellStart"/>
            <w:r w:rsidRPr="00205B55">
              <w:rPr>
                <w:rFonts w:ascii="FrankRuehl" w:hAnsi="FrankRuehl" w:cs="FrankRuehl"/>
                <w:b/>
                <w:bCs/>
                <w:sz w:val="25"/>
                <w:szCs w:val="25"/>
                <w:rtl/>
              </w:rPr>
              <w:t>וַיַּשְׁכֵּם</w:t>
            </w:r>
            <w:proofErr w:type="spellEnd"/>
            <w:r w:rsidRPr="00205B55">
              <w:rPr>
                <w:rFonts w:ascii="FrankRuehl" w:hAnsi="FrankRuehl" w:cs="FrankRuehl"/>
                <w:sz w:val="25"/>
                <w:szCs w:val="25"/>
                <w:rtl/>
              </w:rPr>
              <w:t xml:space="preserve"> אַבְרָהָם </w:t>
            </w:r>
            <w:r w:rsidRPr="00205B55">
              <w:rPr>
                <w:rFonts w:ascii="FrankRuehl" w:hAnsi="FrankRuehl" w:cs="FrankRuehl"/>
                <w:b/>
                <w:bCs/>
                <w:sz w:val="25"/>
                <w:szCs w:val="25"/>
                <w:rtl/>
              </w:rPr>
              <w:t>בַּבֹּקֶר</w:t>
            </w:r>
            <w:r w:rsidR="00205B55">
              <w:rPr>
                <w:rFonts w:ascii="FrankRuehl" w:hAnsi="FrankRuehl" w:cs="FrankRuehl" w:hint="cs"/>
                <w:b/>
                <w:bCs/>
                <w:sz w:val="25"/>
                <w:szCs w:val="25"/>
                <w:rtl/>
              </w:rPr>
              <w:t>"</w:t>
            </w:r>
            <w:r w:rsidRPr="00E42494">
              <w:rPr>
                <w:rFonts w:ascii="David" w:hAnsi="David" w:cs="David"/>
                <w:rtl/>
              </w:rPr>
              <w:t xml:space="preserve"> </w:t>
            </w:r>
            <w:r w:rsidRPr="00205B55">
              <w:rPr>
                <w:rFonts w:ascii="David" w:hAnsi="David" w:cs="David"/>
                <w:sz w:val="20"/>
                <w:szCs w:val="20"/>
                <w:rtl/>
              </w:rPr>
              <w:t xml:space="preserve">(בראשית </w:t>
            </w:r>
            <w:proofErr w:type="spellStart"/>
            <w:r w:rsidRPr="00205B55">
              <w:rPr>
                <w:rFonts w:ascii="David" w:hAnsi="David" w:cs="David"/>
                <w:sz w:val="20"/>
                <w:szCs w:val="20"/>
                <w:rtl/>
              </w:rPr>
              <w:t>כב</w:t>
            </w:r>
            <w:proofErr w:type="spellEnd"/>
            <w:r w:rsidRPr="00205B55">
              <w:rPr>
                <w:rFonts w:ascii="David" w:hAnsi="David" w:cs="David"/>
                <w:sz w:val="20"/>
                <w:szCs w:val="20"/>
                <w:rtl/>
              </w:rPr>
              <w:t>, ג),</w:t>
            </w:r>
            <w:r w:rsidRPr="00E42494">
              <w:rPr>
                <w:rFonts w:ascii="David" w:hAnsi="David" w:cs="David"/>
                <w:rtl/>
              </w:rPr>
              <w:t xml:space="preserve"> </w:t>
            </w:r>
            <w:r w:rsidRPr="00205B55">
              <w:rPr>
                <w:rFonts w:ascii="FrankRuehl" w:hAnsi="FrankRuehl" w:cs="FrankRuehl"/>
                <w:sz w:val="25"/>
                <w:szCs w:val="25"/>
                <w:rtl/>
              </w:rPr>
              <w:t>"</w:t>
            </w:r>
            <w:proofErr w:type="spellStart"/>
            <w:r w:rsidRPr="00205B55">
              <w:rPr>
                <w:rFonts w:ascii="FrankRuehl" w:hAnsi="FrankRuehl" w:cs="FrankRuehl"/>
                <w:b/>
                <w:bCs/>
                <w:sz w:val="25"/>
                <w:szCs w:val="25"/>
                <w:rtl/>
              </w:rPr>
              <w:t>וַיָּקָם</w:t>
            </w:r>
            <w:proofErr w:type="spellEnd"/>
            <w:r w:rsidRPr="00205B55">
              <w:rPr>
                <w:rFonts w:ascii="FrankRuehl" w:hAnsi="FrankRuehl" w:cs="FrankRuehl"/>
                <w:sz w:val="25"/>
                <w:szCs w:val="25"/>
                <w:rtl/>
              </w:rPr>
              <w:t xml:space="preserve"> דָּוִד </w:t>
            </w:r>
            <w:r w:rsidRPr="00205B55">
              <w:rPr>
                <w:rFonts w:ascii="FrankRuehl" w:hAnsi="FrankRuehl" w:cs="FrankRuehl"/>
                <w:b/>
                <w:bCs/>
                <w:sz w:val="25"/>
                <w:szCs w:val="25"/>
                <w:rtl/>
              </w:rPr>
              <w:t>בַּבֹּקֶר</w:t>
            </w:r>
            <w:r w:rsidRPr="00205B55">
              <w:rPr>
                <w:rFonts w:ascii="FrankRuehl" w:hAnsi="FrankRuehl" w:cs="FrankRuehl"/>
                <w:sz w:val="25"/>
                <w:szCs w:val="25"/>
                <w:rtl/>
              </w:rPr>
              <w:t>"</w:t>
            </w:r>
            <w:r w:rsidRPr="00E42494">
              <w:rPr>
                <w:rFonts w:ascii="David" w:hAnsi="David" w:cs="David"/>
                <w:rtl/>
              </w:rPr>
              <w:t xml:space="preserve"> </w:t>
            </w:r>
            <w:r w:rsidRPr="00205B55">
              <w:rPr>
                <w:rFonts w:ascii="David" w:hAnsi="David" w:cs="David"/>
                <w:sz w:val="20"/>
                <w:szCs w:val="20"/>
                <w:rtl/>
              </w:rPr>
              <w:t>(</w:t>
            </w:r>
            <w:proofErr w:type="spellStart"/>
            <w:r w:rsidRPr="00205B55">
              <w:rPr>
                <w:rFonts w:ascii="David" w:hAnsi="David" w:cs="David"/>
                <w:sz w:val="20"/>
                <w:szCs w:val="20"/>
                <w:rtl/>
              </w:rPr>
              <w:t>שמו"ב</w:t>
            </w:r>
            <w:proofErr w:type="spellEnd"/>
            <w:r w:rsidRPr="00205B55">
              <w:rPr>
                <w:rFonts w:ascii="David" w:hAnsi="David" w:cs="David"/>
                <w:sz w:val="20"/>
                <w:szCs w:val="20"/>
                <w:rtl/>
              </w:rPr>
              <w:t xml:space="preserve"> כד, יא).</w:t>
            </w:r>
            <w:r w:rsidRPr="00E42494">
              <w:rPr>
                <w:rFonts w:ascii="David" w:hAnsi="David" w:cs="David"/>
                <w:rtl/>
              </w:rPr>
              <w:t xml:space="preserve"> </w:t>
            </w:r>
          </w:p>
          <w:p w14:paraId="07632A5B" w14:textId="77777777" w:rsidR="00E42494" w:rsidRPr="00E42494" w:rsidRDefault="00E42494" w:rsidP="00E42494">
            <w:pPr>
              <w:tabs>
                <w:tab w:val="left" w:pos="284"/>
              </w:tabs>
              <w:ind w:left="284" w:hanging="284"/>
              <w:rPr>
                <w:rFonts w:ascii="David" w:hAnsi="David" w:cs="David"/>
                <w:rtl/>
              </w:rPr>
            </w:pPr>
            <w:r w:rsidRPr="00E42494">
              <w:rPr>
                <w:rFonts w:ascii="David" w:hAnsi="David" w:cs="David"/>
                <w:rtl/>
              </w:rPr>
              <w:t xml:space="preserve">ה. </w:t>
            </w:r>
            <w:r w:rsidRPr="00E42494">
              <w:rPr>
                <w:rFonts w:ascii="David" w:hAnsi="David" w:cs="David"/>
                <w:rtl/>
              </w:rPr>
              <w:tab/>
              <w:t xml:space="preserve">בשני המאורעות פרק הזמן המוזכר שווה, </w:t>
            </w:r>
            <w:r w:rsidRPr="00205B55">
              <w:rPr>
                <w:rFonts w:ascii="FrankRuehl" w:hAnsi="FrankRuehl" w:cs="FrankRuehl"/>
                <w:sz w:val="25"/>
                <w:szCs w:val="25"/>
                <w:rtl/>
              </w:rPr>
              <w:t>"</w:t>
            </w:r>
            <w:r w:rsidRPr="00205B55">
              <w:rPr>
                <w:rFonts w:ascii="FrankRuehl" w:hAnsi="FrankRuehl" w:cs="FrankRuehl"/>
                <w:b/>
                <w:bCs/>
                <w:sz w:val="25"/>
                <w:szCs w:val="25"/>
                <w:rtl/>
              </w:rPr>
              <w:t>בַּיּוֹם הַשְּׁלִישִׁי</w:t>
            </w:r>
            <w:r w:rsidRPr="00205B55">
              <w:rPr>
                <w:rFonts w:ascii="FrankRuehl" w:hAnsi="FrankRuehl" w:cs="FrankRuehl"/>
                <w:sz w:val="25"/>
                <w:szCs w:val="25"/>
                <w:rtl/>
              </w:rPr>
              <w:t>"</w:t>
            </w:r>
            <w:r w:rsidRPr="00E42494">
              <w:rPr>
                <w:rFonts w:ascii="David" w:hAnsi="David" w:cs="David"/>
                <w:rtl/>
              </w:rPr>
              <w:t xml:space="preserve"> </w:t>
            </w:r>
            <w:r w:rsidRPr="00205B55">
              <w:rPr>
                <w:rFonts w:ascii="David" w:hAnsi="David" w:cs="David"/>
                <w:sz w:val="20"/>
                <w:szCs w:val="20"/>
                <w:rtl/>
              </w:rPr>
              <w:t xml:space="preserve">(בראשית </w:t>
            </w:r>
            <w:proofErr w:type="spellStart"/>
            <w:r w:rsidRPr="00205B55">
              <w:rPr>
                <w:rFonts w:ascii="David" w:hAnsi="David" w:cs="David"/>
                <w:sz w:val="20"/>
                <w:szCs w:val="20"/>
                <w:rtl/>
              </w:rPr>
              <w:t>כב</w:t>
            </w:r>
            <w:proofErr w:type="spellEnd"/>
            <w:r w:rsidRPr="00205B55">
              <w:rPr>
                <w:rFonts w:ascii="David" w:hAnsi="David" w:cs="David"/>
                <w:sz w:val="20"/>
                <w:szCs w:val="20"/>
                <w:rtl/>
              </w:rPr>
              <w:t>, ד),</w:t>
            </w:r>
            <w:r w:rsidRPr="00E42494">
              <w:rPr>
                <w:rFonts w:ascii="David" w:hAnsi="David" w:cs="David"/>
                <w:rtl/>
              </w:rPr>
              <w:t xml:space="preserve"> </w:t>
            </w:r>
            <w:r w:rsidRPr="00205B55">
              <w:rPr>
                <w:rFonts w:ascii="FrankRuehl" w:hAnsi="FrankRuehl" w:cs="FrankRuehl"/>
                <w:sz w:val="25"/>
                <w:szCs w:val="25"/>
                <w:rtl/>
              </w:rPr>
              <w:t>"</w:t>
            </w:r>
            <w:r w:rsidRPr="00205B55">
              <w:rPr>
                <w:rFonts w:ascii="FrankRuehl" w:hAnsi="FrankRuehl" w:cs="FrankRuehl"/>
                <w:b/>
                <w:bCs/>
                <w:sz w:val="25"/>
                <w:szCs w:val="25"/>
                <w:rtl/>
              </w:rPr>
              <w:t>שְׁלֹשֶׁת יָמִים</w:t>
            </w:r>
            <w:r w:rsidRPr="00205B55">
              <w:rPr>
                <w:rFonts w:ascii="FrankRuehl" w:hAnsi="FrankRuehl" w:cs="FrankRuehl"/>
                <w:sz w:val="25"/>
                <w:szCs w:val="25"/>
                <w:rtl/>
              </w:rPr>
              <w:t>"</w:t>
            </w:r>
            <w:r w:rsidRPr="00E42494">
              <w:rPr>
                <w:rFonts w:ascii="David" w:hAnsi="David" w:cs="David"/>
                <w:rtl/>
              </w:rPr>
              <w:t xml:space="preserve"> </w:t>
            </w:r>
            <w:r w:rsidRPr="00205B55">
              <w:rPr>
                <w:rFonts w:ascii="David" w:hAnsi="David" w:cs="David"/>
                <w:sz w:val="20"/>
                <w:szCs w:val="20"/>
                <w:rtl/>
              </w:rPr>
              <w:t>(</w:t>
            </w:r>
            <w:proofErr w:type="spellStart"/>
            <w:r w:rsidRPr="00205B55">
              <w:rPr>
                <w:rFonts w:ascii="David" w:hAnsi="David" w:cs="David"/>
                <w:sz w:val="20"/>
                <w:szCs w:val="20"/>
                <w:rtl/>
              </w:rPr>
              <w:t>דבהי"א</w:t>
            </w:r>
            <w:proofErr w:type="spellEnd"/>
            <w:r w:rsidRPr="00205B55">
              <w:rPr>
                <w:rFonts w:ascii="David" w:hAnsi="David" w:cs="David"/>
                <w:sz w:val="20"/>
                <w:szCs w:val="20"/>
                <w:rtl/>
              </w:rPr>
              <w:t xml:space="preserve"> </w:t>
            </w:r>
            <w:proofErr w:type="spellStart"/>
            <w:r w:rsidRPr="00205B55">
              <w:rPr>
                <w:rFonts w:ascii="David" w:hAnsi="David" w:cs="David"/>
                <w:sz w:val="20"/>
                <w:szCs w:val="20"/>
                <w:rtl/>
              </w:rPr>
              <w:t>כא</w:t>
            </w:r>
            <w:proofErr w:type="spellEnd"/>
            <w:r w:rsidRPr="00205B55">
              <w:rPr>
                <w:rFonts w:ascii="David" w:hAnsi="David" w:cs="David"/>
                <w:sz w:val="20"/>
                <w:szCs w:val="20"/>
                <w:rtl/>
              </w:rPr>
              <w:t xml:space="preserve">, </w:t>
            </w:r>
            <w:proofErr w:type="spellStart"/>
            <w:r w:rsidRPr="00205B55">
              <w:rPr>
                <w:rFonts w:ascii="David" w:hAnsi="David" w:cs="David"/>
                <w:sz w:val="20"/>
                <w:szCs w:val="20"/>
                <w:rtl/>
              </w:rPr>
              <w:t>יב</w:t>
            </w:r>
            <w:proofErr w:type="spellEnd"/>
            <w:r w:rsidRPr="00205B55">
              <w:rPr>
                <w:rFonts w:ascii="David" w:hAnsi="David" w:cs="David"/>
                <w:sz w:val="20"/>
                <w:szCs w:val="20"/>
                <w:rtl/>
              </w:rPr>
              <w:t>).</w:t>
            </w:r>
          </w:p>
          <w:p w14:paraId="025C89E4" w14:textId="77777777" w:rsidR="00E42494" w:rsidRPr="00C55962" w:rsidRDefault="00E42494" w:rsidP="00E42494">
            <w:pPr>
              <w:rPr>
                <w:rFonts w:ascii="David" w:hAnsi="David" w:cs="David"/>
                <w:sz w:val="10"/>
                <w:szCs w:val="10"/>
                <w:rtl/>
              </w:rPr>
            </w:pPr>
          </w:p>
          <w:p w14:paraId="33229ABA" w14:textId="77777777" w:rsidR="00E42494" w:rsidRPr="00E42494" w:rsidRDefault="00E42494" w:rsidP="00E42494">
            <w:pPr>
              <w:rPr>
                <w:rFonts w:ascii="David" w:hAnsi="David" w:cs="David"/>
                <w:rtl/>
              </w:rPr>
            </w:pPr>
            <w:r w:rsidRPr="00E42494">
              <w:rPr>
                <w:rFonts w:ascii="David" w:hAnsi="David" w:cs="David"/>
                <w:rtl/>
              </w:rPr>
              <w:t xml:space="preserve">המשמעות היא שבימי דוד מסתיים ההליך שהחל בתקופת האבות, עם עלייתו של אברהם אבינו לארץ ישראל, שסלל "במעשה אבות סימן לבנים", את הדרך לעם ישראל, את דרכו לארץ ישראל.  </w:t>
            </w:r>
          </w:p>
          <w:p w14:paraId="519697D1" w14:textId="77777777" w:rsidR="00E42494" w:rsidRPr="00E42494" w:rsidRDefault="00E42494" w:rsidP="00E42494">
            <w:pPr>
              <w:rPr>
                <w:rFonts w:ascii="David" w:hAnsi="David" w:cs="David"/>
                <w:rtl/>
              </w:rPr>
            </w:pPr>
            <w:r w:rsidRPr="00E42494">
              <w:rPr>
                <w:rFonts w:ascii="David" w:hAnsi="David" w:cs="David"/>
                <w:rtl/>
              </w:rPr>
              <w:t xml:space="preserve">אברהם, שהיה גֵּר בארץ </w:t>
            </w:r>
            <w:r w:rsidRPr="00205B55">
              <w:rPr>
                <w:rFonts w:ascii="David" w:hAnsi="David" w:cs="David"/>
                <w:sz w:val="20"/>
                <w:szCs w:val="20"/>
                <w:rtl/>
              </w:rPr>
              <w:t xml:space="preserve">(בראשית </w:t>
            </w:r>
            <w:proofErr w:type="spellStart"/>
            <w:r w:rsidRPr="00205B55">
              <w:rPr>
                <w:rFonts w:ascii="David" w:hAnsi="David" w:cs="David"/>
                <w:sz w:val="20"/>
                <w:szCs w:val="20"/>
                <w:rtl/>
              </w:rPr>
              <w:t>כג</w:t>
            </w:r>
            <w:proofErr w:type="spellEnd"/>
            <w:r w:rsidRPr="00205B55">
              <w:rPr>
                <w:rFonts w:ascii="David" w:hAnsi="David" w:cs="David"/>
                <w:sz w:val="20"/>
                <w:szCs w:val="20"/>
                <w:rtl/>
              </w:rPr>
              <w:t>, ד),</w:t>
            </w:r>
            <w:r w:rsidRPr="00E42494">
              <w:rPr>
                <w:rFonts w:ascii="David" w:hAnsi="David" w:cs="David"/>
                <w:rtl/>
              </w:rPr>
              <w:t xml:space="preserve"> הכין את הקרקע להתקיימות הברכה שקיבל בתחילת פרשתנו: </w:t>
            </w:r>
            <w:r w:rsidRPr="00205B55">
              <w:rPr>
                <w:rFonts w:ascii="FrankRuehl" w:hAnsi="FrankRuehl" w:cs="FrankRuehl"/>
                <w:sz w:val="25"/>
                <w:szCs w:val="25"/>
                <w:rtl/>
              </w:rPr>
              <w:t xml:space="preserve">"וְאֶעֶשְׂךָ לְגוֹי גָּדוֹל וַאֲבָרֶכְךָ וַאֲגַדְּלָה שְׁמֶךָ וֶהְיֵה בְּרָכָה: ... </w:t>
            </w:r>
            <w:proofErr w:type="spellStart"/>
            <w:r w:rsidRPr="00205B55">
              <w:rPr>
                <w:rFonts w:ascii="FrankRuehl" w:hAnsi="FrankRuehl" w:cs="FrankRuehl"/>
                <w:sz w:val="25"/>
                <w:szCs w:val="25"/>
                <w:rtl/>
              </w:rPr>
              <w:t>וְנִבְרְכו</w:t>
            </w:r>
            <w:proofErr w:type="spellEnd"/>
            <w:r w:rsidRPr="00205B55">
              <w:rPr>
                <w:rFonts w:ascii="FrankRuehl" w:hAnsi="FrankRuehl" w:cs="FrankRuehl"/>
                <w:sz w:val="25"/>
                <w:szCs w:val="25"/>
                <w:rtl/>
              </w:rPr>
              <w:t>ּ בְךָ כֹּל מִשְׁפְּחֹת הָאֲדָמָה"</w:t>
            </w:r>
            <w:r w:rsidRPr="00E42494">
              <w:rPr>
                <w:rFonts w:ascii="David" w:hAnsi="David" w:cs="David"/>
                <w:rtl/>
              </w:rPr>
              <w:t xml:space="preserve"> </w:t>
            </w:r>
            <w:r w:rsidRPr="00205B55">
              <w:rPr>
                <w:rFonts w:ascii="David" w:hAnsi="David" w:cs="David"/>
                <w:sz w:val="20"/>
                <w:szCs w:val="20"/>
                <w:rtl/>
              </w:rPr>
              <w:t xml:space="preserve">(בראשית </w:t>
            </w:r>
            <w:proofErr w:type="spellStart"/>
            <w:r w:rsidRPr="00205B55">
              <w:rPr>
                <w:rFonts w:ascii="David" w:hAnsi="David" w:cs="David"/>
                <w:sz w:val="20"/>
                <w:szCs w:val="20"/>
                <w:rtl/>
              </w:rPr>
              <w:t>יב</w:t>
            </w:r>
            <w:proofErr w:type="spellEnd"/>
            <w:r w:rsidRPr="00205B55">
              <w:rPr>
                <w:rFonts w:ascii="David" w:hAnsi="David" w:cs="David"/>
                <w:sz w:val="20"/>
                <w:szCs w:val="20"/>
                <w:rtl/>
              </w:rPr>
              <w:t>, ב-ג).</w:t>
            </w:r>
            <w:r w:rsidRPr="00E42494">
              <w:rPr>
                <w:rFonts w:ascii="David" w:hAnsi="David" w:cs="David"/>
                <w:rtl/>
              </w:rPr>
              <w:t xml:space="preserve"> </w:t>
            </w:r>
          </w:p>
          <w:p w14:paraId="194B15A4" w14:textId="77777777" w:rsidR="00E42494" w:rsidRPr="00E42494" w:rsidRDefault="00E42494" w:rsidP="00E42494">
            <w:pPr>
              <w:rPr>
                <w:rFonts w:ascii="David" w:hAnsi="David" w:cs="David"/>
                <w:rtl/>
              </w:rPr>
            </w:pPr>
            <w:r w:rsidRPr="00E42494">
              <w:rPr>
                <w:rFonts w:ascii="David" w:hAnsi="David" w:cs="David"/>
                <w:rtl/>
              </w:rPr>
              <w:t xml:space="preserve">המטרה היא שעם ישראל, יקים מדינה עצמאית בארץ ישראל, שתהיה אור לגוים. מדינה שיהיה לה צבא שיבטיח את עצמאותה, ושחלקים משמעותיים שלו יהיו כתלמידיו של אברהם - לומדי תורה וגם לוחמים עזי נפש,  וכתלמידיו של דוד המלך, שהיה עדינו </w:t>
            </w:r>
            <w:proofErr w:type="spellStart"/>
            <w:r w:rsidRPr="00E42494">
              <w:rPr>
                <w:rFonts w:ascii="David" w:hAnsi="David" w:cs="David"/>
                <w:rtl/>
              </w:rPr>
              <w:t>העצני</w:t>
            </w:r>
            <w:proofErr w:type="spellEnd"/>
            <w:r w:rsidRPr="00E42494">
              <w:rPr>
                <w:rFonts w:ascii="David" w:hAnsi="David" w:cs="David"/>
                <w:rtl/>
              </w:rPr>
              <w:t xml:space="preserve"> בבית המדרש, וקשה כעץ כשיצא להילחם את מלחמות ד'. תלמידים אלה יזכו לבנות את בית המקדש, שבו ישמעו תפילותיהם של ישראל </w:t>
            </w:r>
            <w:r w:rsidRPr="00205B55">
              <w:rPr>
                <w:rFonts w:ascii="FrankRuehl" w:hAnsi="FrankRuehl" w:cs="FrankRuehl"/>
                <w:sz w:val="25"/>
                <w:szCs w:val="25"/>
                <w:rtl/>
              </w:rPr>
              <w:t>"תִּשְׁמַע הַשָּׁמַיִם"</w:t>
            </w:r>
            <w:r w:rsidRPr="00E42494">
              <w:rPr>
                <w:rFonts w:ascii="David" w:hAnsi="David" w:cs="David"/>
                <w:rtl/>
              </w:rPr>
              <w:t xml:space="preserve"> </w:t>
            </w:r>
            <w:r w:rsidRPr="00205B55">
              <w:rPr>
                <w:rFonts w:ascii="David" w:hAnsi="David" w:cs="David"/>
                <w:sz w:val="20"/>
                <w:szCs w:val="20"/>
                <w:rtl/>
              </w:rPr>
              <w:t>(מלכים א' ח, לב).</w:t>
            </w:r>
            <w:r w:rsidRPr="00E42494">
              <w:rPr>
                <w:rFonts w:ascii="David" w:hAnsi="David" w:cs="David"/>
                <w:rtl/>
              </w:rPr>
              <w:t xml:space="preserve"> </w:t>
            </w:r>
          </w:p>
          <w:p w14:paraId="7089F52A" w14:textId="77777777" w:rsidR="00E42494" w:rsidRPr="00E42494" w:rsidRDefault="00E42494" w:rsidP="00E42494">
            <w:pPr>
              <w:rPr>
                <w:rFonts w:ascii="David" w:hAnsi="David" w:cs="David"/>
                <w:rtl/>
              </w:rPr>
            </w:pPr>
            <w:r w:rsidRPr="00E42494">
              <w:rPr>
                <w:rFonts w:ascii="David" w:hAnsi="David" w:cs="David"/>
                <w:rtl/>
              </w:rPr>
              <w:t xml:space="preserve">מדינה עצמאית זו תעורר התפעלות בין לאומית, ותשמש בסיס להתפשטות אמונת הייחוד בעולם, ממרכזו בירושלים בהר הבית, לשם הגיע אברהם מתוך הקשבה לציווי </w:t>
            </w:r>
            <w:r w:rsidRPr="00205B55">
              <w:rPr>
                <w:rFonts w:ascii="FrankRuehl" w:hAnsi="FrankRuehl" w:cs="FrankRuehl"/>
                <w:sz w:val="25"/>
                <w:szCs w:val="25"/>
                <w:rtl/>
              </w:rPr>
              <w:t xml:space="preserve">"לֶךְ </w:t>
            </w:r>
            <w:proofErr w:type="spellStart"/>
            <w:r w:rsidRPr="00205B55">
              <w:rPr>
                <w:rFonts w:ascii="FrankRuehl" w:hAnsi="FrankRuehl" w:cs="FrankRuehl"/>
                <w:sz w:val="25"/>
                <w:szCs w:val="25"/>
                <w:rtl/>
              </w:rPr>
              <w:t>לְךָ</w:t>
            </w:r>
            <w:proofErr w:type="spellEnd"/>
            <w:r w:rsidRPr="00205B55">
              <w:rPr>
                <w:rFonts w:ascii="FrankRuehl" w:hAnsi="FrankRuehl" w:cs="FrankRuehl"/>
                <w:sz w:val="25"/>
                <w:szCs w:val="25"/>
                <w:rtl/>
              </w:rPr>
              <w:t>".</w:t>
            </w:r>
            <w:r w:rsidRPr="00E42494">
              <w:rPr>
                <w:rFonts w:ascii="David" w:hAnsi="David" w:cs="David"/>
                <w:rtl/>
              </w:rPr>
              <w:t xml:space="preserve">   </w:t>
            </w:r>
          </w:p>
          <w:p w14:paraId="778F3C1F" w14:textId="77777777" w:rsidR="00E42494" w:rsidRPr="00C55962" w:rsidRDefault="00E42494" w:rsidP="00E42494">
            <w:pPr>
              <w:rPr>
                <w:rFonts w:ascii="David" w:hAnsi="David" w:cs="David"/>
                <w:sz w:val="10"/>
                <w:szCs w:val="10"/>
                <w:rtl/>
              </w:rPr>
            </w:pPr>
          </w:p>
          <w:p w14:paraId="47499748" w14:textId="77777777" w:rsidR="00205B55" w:rsidRDefault="00E42494" w:rsidP="00205B55">
            <w:pPr>
              <w:jc w:val="center"/>
              <w:rPr>
                <w:rFonts w:ascii="David" w:hAnsi="David" w:cs="David"/>
                <w:rtl/>
              </w:rPr>
            </w:pPr>
            <w:r w:rsidRPr="00E42494">
              <w:rPr>
                <w:rFonts w:ascii="David" w:hAnsi="David" w:cs="David"/>
                <w:rtl/>
              </w:rPr>
              <w:t xml:space="preserve">הבה נתפלל כי כשם שחזון הנביאים אודות קיבוץ הגלויות מתקיים לנגד עינינו, מתוך קיום </w:t>
            </w:r>
          </w:p>
          <w:p w14:paraId="56954E2E" w14:textId="0B60D1B1" w:rsidR="00205B55" w:rsidRDefault="00E42494" w:rsidP="00205B55">
            <w:pPr>
              <w:jc w:val="center"/>
              <w:rPr>
                <w:rFonts w:ascii="David" w:hAnsi="David" w:cs="David"/>
                <w:rtl/>
              </w:rPr>
            </w:pPr>
            <w:r w:rsidRPr="00205B55">
              <w:rPr>
                <w:rFonts w:ascii="FrankRuehl" w:hAnsi="FrankRuehl" w:cs="FrankRuehl"/>
                <w:sz w:val="25"/>
                <w:szCs w:val="25"/>
                <w:rtl/>
              </w:rPr>
              <w:t xml:space="preserve">"נְאֻם </w:t>
            </w:r>
            <w:proofErr w:type="spellStart"/>
            <w:r w:rsidRPr="00205B55">
              <w:rPr>
                <w:rFonts w:ascii="FrankRuehl" w:hAnsi="FrankRuehl" w:cs="FrankRuehl"/>
                <w:sz w:val="25"/>
                <w:szCs w:val="25"/>
                <w:rtl/>
              </w:rPr>
              <w:t>אֲדֹנ-י</w:t>
            </w:r>
            <w:proofErr w:type="spellEnd"/>
            <w:r w:rsidRPr="00205B55">
              <w:rPr>
                <w:rFonts w:ascii="FrankRuehl" w:hAnsi="FrankRuehl" w:cs="FrankRuehl"/>
                <w:sz w:val="25"/>
                <w:szCs w:val="25"/>
                <w:rtl/>
              </w:rPr>
              <w:t xml:space="preserve"> ד' מְקַבֵּץ </w:t>
            </w:r>
            <w:proofErr w:type="spellStart"/>
            <w:r w:rsidRPr="00205B55">
              <w:rPr>
                <w:rFonts w:ascii="FrankRuehl" w:hAnsi="FrankRuehl" w:cs="FrankRuehl"/>
                <w:sz w:val="25"/>
                <w:szCs w:val="25"/>
                <w:rtl/>
              </w:rPr>
              <w:t>נִדְחֵי</w:t>
            </w:r>
            <w:proofErr w:type="spellEnd"/>
            <w:r w:rsidRPr="00205B55">
              <w:rPr>
                <w:rFonts w:ascii="FrankRuehl" w:hAnsi="FrankRuehl" w:cs="FrankRuehl"/>
                <w:sz w:val="25"/>
                <w:szCs w:val="25"/>
                <w:rtl/>
              </w:rPr>
              <w:t xml:space="preserve"> יִשְׂרָאֵל עוֹד אֲקַבֵּץ עָלָיו </w:t>
            </w:r>
            <w:proofErr w:type="spellStart"/>
            <w:r w:rsidRPr="00205B55">
              <w:rPr>
                <w:rFonts w:ascii="FrankRuehl" w:hAnsi="FrankRuehl" w:cs="FrankRuehl"/>
                <w:sz w:val="25"/>
                <w:szCs w:val="25"/>
                <w:rtl/>
              </w:rPr>
              <w:t>לְנִקְבָּצָיו</w:t>
            </w:r>
            <w:proofErr w:type="spellEnd"/>
            <w:r w:rsidRPr="00205B55">
              <w:rPr>
                <w:rFonts w:ascii="FrankRuehl" w:hAnsi="FrankRuehl" w:cs="FrankRuehl"/>
                <w:sz w:val="25"/>
                <w:szCs w:val="25"/>
                <w:rtl/>
              </w:rPr>
              <w:t>",</w:t>
            </w:r>
            <w:r w:rsidRPr="00E42494">
              <w:rPr>
                <w:rFonts w:ascii="David" w:hAnsi="David" w:cs="David"/>
                <w:rtl/>
              </w:rPr>
              <w:t xml:space="preserve"> נזכה גם לקיום הנבואה הסמוכה </w:t>
            </w:r>
          </w:p>
          <w:p w14:paraId="4D0278CE" w14:textId="4ADB3537" w:rsidR="00E42494" w:rsidRPr="00E42494" w:rsidRDefault="00E42494" w:rsidP="00205B55">
            <w:pPr>
              <w:jc w:val="center"/>
              <w:rPr>
                <w:rFonts w:ascii="David" w:hAnsi="David" w:cs="David"/>
                <w:rtl/>
              </w:rPr>
            </w:pPr>
            <w:r w:rsidRPr="00205B55">
              <w:rPr>
                <w:rFonts w:ascii="FrankRuehl" w:hAnsi="FrankRuehl" w:cs="FrankRuehl"/>
                <w:sz w:val="25"/>
                <w:szCs w:val="25"/>
                <w:rtl/>
              </w:rPr>
              <w:t>"</w:t>
            </w:r>
            <w:proofErr w:type="spellStart"/>
            <w:r w:rsidRPr="00205B55">
              <w:rPr>
                <w:rFonts w:ascii="FrankRuehl" w:hAnsi="FrankRuehl" w:cs="FrankRuehl"/>
                <w:sz w:val="25"/>
                <w:szCs w:val="25"/>
                <w:rtl/>
              </w:rPr>
              <w:t>וַהֲבִיאוֹתִים</w:t>
            </w:r>
            <w:proofErr w:type="spellEnd"/>
            <w:r w:rsidRPr="00205B55">
              <w:rPr>
                <w:rFonts w:ascii="FrankRuehl" w:hAnsi="FrankRuehl" w:cs="FrankRuehl"/>
                <w:sz w:val="25"/>
                <w:szCs w:val="25"/>
                <w:rtl/>
              </w:rPr>
              <w:t xml:space="preserve"> אֶל הַר קָדְשִׁי וְשִׂמַּחְתִּים בְּבֵית תְּפִלָּתִי ... כִּי בֵיתִי בֵּית תְּפִלָּה יִקָּרֵא לְכָל הָעַמִּים"</w:t>
            </w:r>
            <w:r w:rsidRPr="00E42494">
              <w:rPr>
                <w:rFonts w:ascii="David" w:hAnsi="David" w:cs="David"/>
                <w:rtl/>
              </w:rPr>
              <w:t xml:space="preserve"> </w:t>
            </w:r>
            <w:r w:rsidRPr="00205B55">
              <w:rPr>
                <w:rFonts w:ascii="David" w:hAnsi="David" w:cs="David"/>
                <w:sz w:val="20"/>
                <w:szCs w:val="20"/>
                <w:rtl/>
              </w:rPr>
              <w:t>(ישעיהו נו, ז-ח).</w:t>
            </w:r>
          </w:p>
          <w:p w14:paraId="1B057BE6" w14:textId="77777777" w:rsidR="00D037B4" w:rsidRPr="00466122" w:rsidRDefault="00D037B4" w:rsidP="00D037B4">
            <w:pPr>
              <w:rPr>
                <w:rFonts w:ascii="David" w:hAnsi="David" w:cs="David"/>
                <w:sz w:val="8"/>
                <w:szCs w:val="8"/>
                <w:rtl/>
              </w:rPr>
            </w:pPr>
          </w:p>
          <w:p w14:paraId="09EEF813" w14:textId="77777777" w:rsidR="00EE4D48" w:rsidRPr="00C558F2" w:rsidRDefault="00EE4D48" w:rsidP="00963AB0">
            <w:pPr>
              <w:rPr>
                <w:rFonts w:ascii="David" w:hAnsi="David" w:cs="David"/>
                <w:sz w:val="6"/>
                <w:szCs w:val="6"/>
                <w:rtl/>
              </w:rPr>
            </w:pPr>
          </w:p>
          <w:p w14:paraId="4F52D5CF" w14:textId="48B57E7A" w:rsidR="00F9580A" w:rsidRDefault="001969F8" w:rsidP="00205B55">
            <w:pPr>
              <w:spacing w:line="420" w:lineRule="auto"/>
              <w:jc w:val="center"/>
              <w:rPr>
                <w:rFonts w:ascii="David" w:hAnsi="David" w:cs="David"/>
                <w:sz w:val="16"/>
                <w:szCs w:val="16"/>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549"/>
              <w:gridCol w:w="1412"/>
              <w:gridCol w:w="148"/>
              <w:gridCol w:w="142"/>
              <w:gridCol w:w="286"/>
              <w:gridCol w:w="423"/>
              <w:gridCol w:w="702"/>
              <w:gridCol w:w="144"/>
              <w:gridCol w:w="146"/>
              <w:gridCol w:w="425"/>
              <w:gridCol w:w="150"/>
              <w:gridCol w:w="559"/>
              <w:gridCol w:w="277"/>
              <w:gridCol w:w="7"/>
              <w:gridCol w:w="858"/>
              <w:gridCol w:w="977"/>
              <w:gridCol w:w="575"/>
              <w:gridCol w:w="283"/>
              <w:gridCol w:w="8"/>
              <w:gridCol w:w="132"/>
              <w:gridCol w:w="703"/>
              <w:gridCol w:w="2137"/>
            </w:tblGrid>
            <w:tr w:rsidR="001969F8" w:rsidRPr="00451315" w14:paraId="140C2209" w14:textId="77777777" w:rsidTr="00DF726B">
              <w:trPr>
                <w:trHeight w:val="273"/>
              </w:trPr>
              <w:tc>
                <w:tcPr>
                  <w:tcW w:w="3806" w:type="dxa"/>
                  <w:gridSpan w:val="8"/>
                  <w:tcMar>
                    <w:top w:w="0" w:type="dxa"/>
                    <w:left w:w="108" w:type="dxa"/>
                    <w:bottom w:w="0" w:type="dxa"/>
                    <w:right w:w="108" w:type="dxa"/>
                  </w:tcMar>
                  <w:vAlign w:val="center"/>
                </w:tcPr>
                <w:p w14:paraId="019DBF44" w14:textId="438EB216" w:rsidR="001969F8" w:rsidRPr="00451315" w:rsidRDefault="001969F8" w:rsidP="00D037B4">
                  <w:pPr>
                    <w:contextualSpacing/>
                    <w:jc w:val="center"/>
                    <w:rPr>
                      <w:rFonts w:ascii="David" w:eastAsia="Calibri" w:hAnsi="David" w:cs="David"/>
                      <w:color w:val="000000"/>
                      <w:sz w:val="30"/>
                      <w:szCs w:val="30"/>
                      <w:rtl/>
                    </w:rPr>
                  </w:pPr>
                  <w:bookmarkStart w:id="1" w:name="_Hlk172809546"/>
                  <w:r w:rsidRPr="00451315">
                    <w:rPr>
                      <w:rFonts w:ascii="David" w:eastAsia="Calibri" w:hAnsi="David" w:cs="Guttman Stam" w:hint="cs"/>
                      <w:b/>
                      <w:bCs/>
                      <w:color w:val="0070C0"/>
                      <w:sz w:val="30"/>
                      <w:szCs w:val="30"/>
                      <w:rtl/>
                    </w:rPr>
                    <w:t>ל ע י ל ו י   נ ש מ ת</w:t>
                  </w:r>
                </w:p>
              </w:tc>
              <w:tc>
                <w:tcPr>
                  <w:tcW w:w="7237" w:type="dxa"/>
                  <w:gridSpan w:val="14"/>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DF726B">
              <w:trPr>
                <w:trHeight w:val="273"/>
              </w:trPr>
              <w:tc>
                <w:tcPr>
                  <w:tcW w:w="1961"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701" w:type="dxa"/>
                  <w:gridSpan w:val="5"/>
                  <w:vAlign w:val="center"/>
                </w:tcPr>
                <w:p w14:paraId="07F536A1" w14:textId="6AB697F9"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77777777"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5"/>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7" w:type="dxa"/>
                  <w:vAlign w:val="center"/>
                </w:tcPr>
                <w:p w14:paraId="2F62AA07"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DF726B">
              <w:trPr>
                <w:trHeight w:val="427"/>
              </w:trPr>
              <w:tc>
                <w:tcPr>
                  <w:tcW w:w="2251"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77777777"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3" w:type="dxa"/>
                  <w:gridSpan w:val="5"/>
                  <w:tcMar>
                    <w:top w:w="0" w:type="dxa"/>
                    <w:left w:w="108" w:type="dxa"/>
                    <w:bottom w:w="0" w:type="dxa"/>
                    <w:right w:w="108" w:type="dxa"/>
                  </w:tcMar>
                  <w:vAlign w:val="center"/>
                </w:tcPr>
                <w:p w14:paraId="54CD41BD" w14:textId="77777777"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DF726B">
              <w:trPr>
                <w:trHeight w:val="431"/>
              </w:trPr>
              <w:tc>
                <w:tcPr>
                  <w:tcW w:w="2109"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סוזן </w:t>
                  </w:r>
                  <w:proofErr w:type="spellStart"/>
                  <w:r w:rsidRPr="00451315">
                    <w:rPr>
                      <w:rFonts w:ascii="David" w:eastAsia="Calibri" w:hAnsi="David" w:cs="David"/>
                      <w:b/>
                      <w:bCs/>
                      <w:color w:val="002060"/>
                      <w:sz w:val="19"/>
                      <w:szCs w:val="19"/>
                      <w:rtl/>
                    </w:rPr>
                    <w:t>וסרטיל</w:t>
                  </w:r>
                  <w:proofErr w:type="spellEnd"/>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14:paraId="779043A4" w14:textId="77777777"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3" w:type="dxa"/>
                  <w:gridSpan w:val="6"/>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CD57CFA"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DF726B">
              <w:trPr>
                <w:trHeight w:val="453"/>
              </w:trPr>
              <w:tc>
                <w:tcPr>
                  <w:tcW w:w="2960" w:type="dxa"/>
                  <w:gridSpan w:val="6"/>
                  <w:vAlign w:val="center"/>
                  <w:hideMark/>
                </w:tcPr>
                <w:p w14:paraId="5F098E32" w14:textId="6F62B165"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5BD5C87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0" w:type="dxa"/>
                  <w:gridSpan w:val="4"/>
                  <w:vAlign w:val="center"/>
                </w:tcPr>
                <w:p w14:paraId="4EF9C69B" w14:textId="252888A5" w:rsidR="000B0BB9" w:rsidRDefault="000B0BB9" w:rsidP="00D037B4">
                  <w:pPr>
                    <w:contextualSpacing/>
                    <w:jc w:val="center"/>
                    <w:rPr>
                      <w:rFonts w:ascii="David" w:eastAsia="Calibri" w:hAnsi="David" w:cs="David"/>
                      <w:color w:val="000000"/>
                      <w:sz w:val="19"/>
                      <w:szCs w:val="19"/>
                      <w:rtl/>
                    </w:rPr>
                  </w:pPr>
                  <w:bookmarkStart w:id="2"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2"/>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DF726B">
              <w:trPr>
                <w:trHeight w:val="329"/>
              </w:trPr>
              <w:tc>
                <w:tcPr>
                  <w:tcW w:w="549" w:type="dxa"/>
                  <w:vAlign w:val="center"/>
                </w:tcPr>
                <w:p w14:paraId="77B3F93D" w14:textId="6FCAC064" w:rsidR="00420F4E" w:rsidRPr="00451315" w:rsidRDefault="00420F4E" w:rsidP="00D037B4">
                  <w:pPr>
                    <w:ind w:left="59" w:hanging="32"/>
                    <w:contextualSpacing/>
                    <w:jc w:val="center"/>
                    <w:rPr>
                      <w:rFonts w:ascii="David" w:eastAsia="Calibri" w:hAnsi="David" w:cs="David"/>
                      <w:color w:val="000000"/>
                      <w:sz w:val="19"/>
                      <w:szCs w:val="19"/>
                      <w:rtl/>
                    </w:rPr>
                  </w:pPr>
                </w:p>
              </w:tc>
              <w:tc>
                <w:tcPr>
                  <w:tcW w:w="1988" w:type="dxa"/>
                  <w:gridSpan w:val="4"/>
                  <w:vAlign w:val="center"/>
                </w:tcPr>
                <w:p w14:paraId="4E6DA08E" w14:textId="77777777" w:rsidR="00420F4E" w:rsidRPr="00451315" w:rsidRDefault="00420F4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D037B4">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1990" w:type="dxa"/>
                  <w:gridSpan w:val="6"/>
                  <w:vAlign w:val="center"/>
                </w:tcPr>
                <w:p w14:paraId="6BE93544" w14:textId="77777777" w:rsidR="00420F4E" w:rsidRPr="00451315" w:rsidRDefault="00420F4E" w:rsidP="00D037B4">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D037B4">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1701" w:type="dxa"/>
                  <w:gridSpan w:val="4"/>
                  <w:vAlign w:val="center"/>
                </w:tcPr>
                <w:p w14:paraId="52400253" w14:textId="77777777" w:rsidR="00420F4E" w:rsidRPr="00451315" w:rsidRDefault="00420F4E" w:rsidP="00D037B4">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77777777" w:rsidR="00420F4E" w:rsidRPr="00451315" w:rsidRDefault="00420F4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r w:rsidRPr="00451315">
                    <w:rPr>
                      <w:rFonts w:ascii="David" w:eastAsia="Calibri" w:hAnsi="David" w:cs="David"/>
                      <w:b/>
                      <w:bCs/>
                      <w:color w:val="002060"/>
                      <w:sz w:val="19"/>
                      <w:szCs w:val="19"/>
                      <w:rtl/>
                    </w:rPr>
                    <w:t xml:space="preserve"> </w:t>
                  </w:r>
                </w:p>
              </w:tc>
              <w:tc>
                <w:tcPr>
                  <w:tcW w:w="1843" w:type="dxa"/>
                  <w:gridSpan w:val="4"/>
                  <w:vAlign w:val="center"/>
                </w:tcPr>
                <w:p w14:paraId="08EB2DD4" w14:textId="77777777" w:rsidR="007435E2" w:rsidRDefault="00420F4E" w:rsidP="00D037B4">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 xml:space="preserve">אלישע בן רבקה </w:t>
                  </w:r>
                </w:p>
                <w:p w14:paraId="4149C7E7" w14:textId="77777777" w:rsidR="00420F4E" w:rsidRPr="00420F4E" w:rsidRDefault="00420F4E" w:rsidP="00D037B4">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972" w:type="dxa"/>
                  <w:gridSpan w:val="3"/>
                  <w:vAlign w:val="center"/>
                </w:tcPr>
                <w:p w14:paraId="4686B100" w14:textId="1EA36139" w:rsidR="00835880" w:rsidRPr="00451315" w:rsidRDefault="00C35550" w:rsidP="00D037B4">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r w:rsidR="00835880" w:rsidRPr="00451315">
                    <w:rPr>
                      <w:rFonts w:ascii="David" w:eastAsia="Calibri" w:hAnsi="David" w:cs="David" w:hint="cs"/>
                      <w:b/>
                      <w:bCs/>
                      <w:color w:val="002060"/>
                      <w:sz w:val="19"/>
                      <w:szCs w:val="19"/>
                      <w:rtl/>
                    </w:rPr>
                    <w:t xml:space="preserve"> </w:t>
                  </w:r>
                </w:p>
                <w:p w14:paraId="38411CCD" w14:textId="4E9291DB" w:rsidR="00420F4E" w:rsidRPr="00451315" w:rsidRDefault="00C35550" w:rsidP="00D037B4">
                  <w:pPr>
                    <w:ind w:right="-57"/>
                    <w:contextualSpacing/>
                    <w:jc w:val="center"/>
                    <w:rPr>
                      <w:sz w:val="19"/>
                      <w:szCs w:val="19"/>
                      <w:rtl/>
                    </w:rPr>
                  </w:pPr>
                  <w:r>
                    <w:rPr>
                      <w:rFonts w:ascii="David" w:eastAsia="Calibri" w:hAnsi="David" w:cs="David" w:hint="cs"/>
                      <w:sz w:val="19"/>
                      <w:szCs w:val="19"/>
                      <w:rtl/>
                    </w:rPr>
                    <w:t>מנחם אב תשפ"ד</w:t>
                  </w:r>
                </w:p>
              </w:tc>
            </w:tr>
            <w:bookmarkEnd w:id="1"/>
          </w:tbl>
          <w:p w14:paraId="0F365956" w14:textId="77777777" w:rsidR="00E8510C" w:rsidRPr="00451315" w:rsidRDefault="00E8510C" w:rsidP="00FC3E58">
            <w:pPr>
              <w:rPr>
                <w:rFonts w:ascii="David" w:hAnsi="David" w:cs="David"/>
                <w:sz w:val="18"/>
                <w:szCs w:val="18"/>
                <w:rtl/>
              </w:rPr>
            </w:pPr>
          </w:p>
        </w:tc>
      </w:tr>
    </w:tbl>
    <w:p w14:paraId="3A54C9C8" w14:textId="5452CC29" w:rsidR="00826A33" w:rsidRPr="005A766F" w:rsidRDefault="000359F1" w:rsidP="00394B9D">
      <w:pPr>
        <w:contextualSpacing/>
        <w:rPr>
          <w:rFonts w:ascii="Arial" w:eastAsia="Calibri" w:hAnsi="Arial" w:cs="Arial"/>
          <w:b/>
          <w:bCs/>
          <w:color w:val="C00000"/>
          <w:sz w:val="12"/>
          <w:szCs w:val="12"/>
          <w:rtl/>
        </w:rPr>
      </w:pPr>
      <w:r w:rsidRPr="00624A6A">
        <w:rPr>
          <w:rFonts w:ascii="David" w:hAnsi="David" w:cs="David"/>
          <w:noProof/>
          <w:rtl/>
        </w:rPr>
        <w:drawing>
          <wp:anchor distT="0" distB="0" distL="114300" distR="114300" simplePos="0" relativeHeight="252003328" behindDoc="1" locked="0" layoutInCell="1" allowOverlap="1" wp14:anchorId="13784850" wp14:editId="4F27FBA6">
            <wp:simplePos x="0" y="0"/>
            <wp:positionH relativeFrom="margin">
              <wp:posOffset>-166370</wp:posOffset>
            </wp:positionH>
            <wp:positionV relativeFrom="paragraph">
              <wp:posOffset>7232279</wp:posOffset>
            </wp:positionV>
            <wp:extent cx="7326663" cy="2113472"/>
            <wp:effectExtent l="0" t="0" r="7620" b="127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26663" cy="2113472"/>
                    </a:xfrm>
                    <a:prstGeom prst="rect">
                      <a:avLst/>
                    </a:prstGeom>
                    <a:noFill/>
                  </pic:spPr>
                </pic:pic>
              </a:graphicData>
            </a:graphic>
            <wp14:sizeRelH relativeFrom="page">
              <wp14:pctWidth>0</wp14:pctWidth>
            </wp14:sizeRelH>
            <wp14:sizeRelV relativeFrom="page">
              <wp14:pctHeight>0</wp14:pctHeight>
            </wp14:sizeRelV>
          </wp:anchor>
        </w:drawing>
      </w:r>
    </w:p>
    <w:p w14:paraId="61CDC895" w14:textId="77777777" w:rsidR="00394B9D" w:rsidRPr="007E6A8A" w:rsidRDefault="00394B9D" w:rsidP="00F52A2A">
      <w:pPr>
        <w:contextualSpacing/>
        <w:jc w:val="center"/>
        <w:rPr>
          <w:rFonts w:ascii="Arial" w:eastAsia="Calibri" w:hAnsi="Arial" w:cs="Arial"/>
          <w:b/>
          <w:bCs/>
          <w:color w:val="C00000"/>
          <w:sz w:val="8"/>
          <w:szCs w:val="8"/>
          <w:rtl/>
        </w:rPr>
      </w:pPr>
    </w:p>
    <w:p w14:paraId="15B06044" w14:textId="77777777" w:rsidR="00C55962" w:rsidRPr="00C55962" w:rsidRDefault="00C55962" w:rsidP="00F52A2A">
      <w:pPr>
        <w:contextualSpacing/>
        <w:jc w:val="center"/>
        <w:rPr>
          <w:rFonts w:ascii="Arial" w:eastAsia="Calibri" w:hAnsi="Arial" w:cs="Arial"/>
          <w:b/>
          <w:bCs/>
          <w:color w:val="C00000"/>
          <w:sz w:val="10"/>
          <w:szCs w:val="10"/>
          <w:rtl/>
        </w:rPr>
      </w:pPr>
    </w:p>
    <w:p w14:paraId="2E94EE8C" w14:textId="0DC33AB8"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25CF98FE"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0E8B4021" w:rsidR="007E6A8A" w:rsidRDefault="007104FA" w:rsidP="00EE4D48">
      <w:pPr>
        <w:bidi w:val="0"/>
        <w:jc w:val="center"/>
        <w:rPr>
          <w:rFonts w:ascii="FrankRuehl" w:eastAsia="Calibri" w:hAnsi="FrankRuehl" w:cs="FrankRuehl"/>
          <w:color w:val="0070C0"/>
          <w:sz w:val="16"/>
          <w:szCs w:val="16"/>
          <w:u w:val="single"/>
        </w:rPr>
      </w:pPr>
      <w:hyperlink r:id="rId13"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2A059B19" w14:textId="1E67982B" w:rsidR="00E42494" w:rsidRDefault="00E42494" w:rsidP="00E42494">
      <w:pPr>
        <w:rPr>
          <w:rFonts w:ascii="Calibri" w:eastAsia="Calibri" w:hAnsi="Calibri" w:cs="David"/>
          <w:b/>
          <w:bCs/>
          <w:sz w:val="28"/>
          <w:szCs w:val="28"/>
        </w:rPr>
      </w:pPr>
      <w:r w:rsidRPr="009B609E">
        <w:rPr>
          <w:rFonts w:ascii="Calibri" w:eastAsia="Calibri" w:hAnsi="Calibri" w:cs="Arial"/>
          <w:noProof/>
          <w:sz w:val="22"/>
          <w:szCs w:val="22"/>
        </w:rPr>
        <w:lastRenderedPageBreak/>
        <w:drawing>
          <wp:anchor distT="0" distB="0" distL="114300" distR="114300" simplePos="0" relativeHeight="251948032" behindDoc="1" locked="0" layoutInCell="1" allowOverlap="1" wp14:anchorId="6E477B7B" wp14:editId="40CFD9DE">
            <wp:simplePos x="0" y="0"/>
            <wp:positionH relativeFrom="margin">
              <wp:posOffset>4160520</wp:posOffset>
            </wp:positionH>
            <wp:positionV relativeFrom="paragraph">
              <wp:posOffset>-101229</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631D09" w14:textId="109F9E16" w:rsidR="00E42494" w:rsidRDefault="00E42494" w:rsidP="00E42494">
      <w:pPr>
        <w:rPr>
          <w:rFonts w:ascii="Calibri" w:eastAsia="Calibri" w:hAnsi="Calibri" w:cs="David"/>
          <w:b/>
          <w:bCs/>
          <w:sz w:val="28"/>
          <w:szCs w:val="28"/>
        </w:rPr>
      </w:pPr>
    </w:p>
    <w:p w14:paraId="6C72855F" w14:textId="77777777" w:rsidR="00E42494" w:rsidRPr="00E42494" w:rsidRDefault="00E42494" w:rsidP="00E42494">
      <w:pPr>
        <w:rPr>
          <w:rFonts w:ascii="Calibri" w:eastAsia="Calibri" w:hAnsi="Calibri" w:cs="David"/>
          <w:b/>
          <w:bCs/>
          <w:sz w:val="8"/>
          <w:szCs w:val="8"/>
          <w:rtl/>
        </w:rPr>
      </w:pPr>
    </w:p>
    <w:p w14:paraId="7A42E887" w14:textId="02901497" w:rsidR="003A385E" w:rsidRPr="00F9466E" w:rsidRDefault="003A385E" w:rsidP="00E42494">
      <w:pPr>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73DF7B60" w14:textId="41F486DA" w:rsidR="00AE69A7" w:rsidRPr="008811EE" w:rsidRDefault="00AE69A7" w:rsidP="00E42494">
      <w:pPr>
        <w:contextualSpacing/>
        <w:rPr>
          <w:rFonts w:ascii="David" w:eastAsia="Calibri" w:hAnsi="David" w:cs="David"/>
          <w:sz w:val="12"/>
          <w:szCs w:val="12"/>
          <w:rtl/>
          <w:lang w:eastAsia="he-IL"/>
        </w:rPr>
      </w:pPr>
    </w:p>
    <w:p w14:paraId="5AFCDA49" w14:textId="375DAF6D" w:rsidR="00466122" w:rsidRPr="00466122" w:rsidRDefault="00466122" w:rsidP="00E42494">
      <w:pPr>
        <w:rPr>
          <w:rFonts w:ascii="David" w:hAnsi="David" w:cs="David"/>
          <w:b/>
          <w:bCs/>
          <w:color w:val="0070C0"/>
          <w:kern w:val="2"/>
          <w:sz w:val="28"/>
          <w:szCs w:val="28"/>
          <w:rtl/>
          <w14:ligatures w14:val="standardContextual"/>
        </w:rPr>
      </w:pPr>
      <w:r w:rsidRPr="00466122">
        <w:rPr>
          <w:rFonts w:ascii="David" w:hAnsi="David" w:cs="David" w:hint="cs"/>
          <w:b/>
          <w:bCs/>
          <w:color w:val="0070C0"/>
          <w:kern w:val="2"/>
          <w:sz w:val="28"/>
          <w:szCs w:val="28"/>
          <w:rtl/>
          <w14:ligatures w14:val="standardContextual"/>
        </w:rPr>
        <w:t>בקיאותנו בחלוקת פסוקי התורה</w:t>
      </w:r>
    </w:p>
    <w:p w14:paraId="36287211" w14:textId="506C793F" w:rsidR="008811EE" w:rsidRPr="008811EE" w:rsidRDefault="008811EE" w:rsidP="00E42494">
      <w:pPr>
        <w:rPr>
          <w:sz w:val="12"/>
          <w:szCs w:val="12"/>
          <w:rtl/>
        </w:rPr>
      </w:pPr>
    </w:p>
    <w:p w14:paraId="0BB0F798" w14:textId="0A63368C" w:rsidR="00466122" w:rsidRPr="00466122" w:rsidRDefault="00466122" w:rsidP="00E42494">
      <w:pPr>
        <w:contextualSpacing/>
        <w:rPr>
          <w:rFonts w:ascii="David" w:hAnsi="David" w:cs="David"/>
        </w:rPr>
      </w:pPr>
      <w:r w:rsidRPr="00466122">
        <w:rPr>
          <w:rFonts w:ascii="David" w:hAnsi="David" w:cs="David" w:hint="cs"/>
          <w:rtl/>
        </w:rPr>
        <w:t xml:space="preserve">פרשתנו, פרשת לך </w:t>
      </w:r>
      <w:proofErr w:type="spellStart"/>
      <w:r w:rsidRPr="00466122">
        <w:rPr>
          <w:rFonts w:ascii="David" w:hAnsi="David" w:cs="David" w:hint="cs"/>
          <w:rtl/>
        </w:rPr>
        <w:t>לך</w:t>
      </w:r>
      <w:proofErr w:type="spellEnd"/>
      <w:r w:rsidRPr="00466122">
        <w:rPr>
          <w:rFonts w:ascii="David" w:hAnsi="David" w:cs="David" w:hint="cs"/>
          <w:rtl/>
        </w:rPr>
        <w:t>, פותחת בתשע</w:t>
      </w:r>
      <w:r>
        <w:rPr>
          <w:rFonts w:ascii="David" w:hAnsi="David" w:cs="David" w:hint="cs"/>
          <w:rtl/>
        </w:rPr>
        <w:t>ה</w:t>
      </w:r>
      <w:r w:rsidRPr="00466122">
        <w:rPr>
          <w:rFonts w:ascii="David" w:hAnsi="David" w:cs="David" w:hint="cs"/>
          <w:rtl/>
        </w:rPr>
        <w:t xml:space="preserve"> פסוקים העוסקים בציווי לאברם ללכת לארץ אשר ה' יראה לו. הוא מגיע לשכם, אלון מורה, בית אל, העי, ומשם ממשיך נגבה. בכך מסתיימים תשע הפסוקים וישנה הפסקה של פרשה פתוחה, לפני הרעב והירידה למצרים.</w:t>
      </w:r>
    </w:p>
    <w:p w14:paraId="1F173E50" w14:textId="32CB16E6" w:rsidR="00466122" w:rsidRPr="00466122" w:rsidRDefault="00466122" w:rsidP="00E42494">
      <w:pPr>
        <w:contextualSpacing/>
        <w:rPr>
          <w:rFonts w:ascii="David" w:hAnsi="David" w:cs="David"/>
          <w:rtl/>
        </w:rPr>
      </w:pPr>
      <w:r w:rsidRPr="00466122">
        <w:rPr>
          <w:rFonts w:ascii="David" w:hAnsi="David" w:cs="David" w:hint="cs"/>
          <w:rtl/>
        </w:rPr>
        <w:t>ביום שני</w:t>
      </w:r>
      <w:r>
        <w:rPr>
          <w:rFonts w:ascii="David" w:hAnsi="David" w:cs="David" w:hint="cs"/>
          <w:rtl/>
        </w:rPr>
        <w:t>,</w:t>
      </w:r>
      <w:r w:rsidRPr="00466122">
        <w:rPr>
          <w:rFonts w:ascii="David" w:hAnsi="David" w:cs="David" w:hint="cs"/>
          <w:rtl/>
        </w:rPr>
        <w:t xml:space="preserve"> באחד המניינים</w:t>
      </w:r>
      <w:r>
        <w:rPr>
          <w:rFonts w:ascii="David" w:hAnsi="David" w:cs="David" w:hint="cs"/>
          <w:rtl/>
        </w:rPr>
        <w:t>,</w:t>
      </w:r>
      <w:r w:rsidRPr="00466122">
        <w:rPr>
          <w:rFonts w:ascii="David" w:hAnsi="David" w:cs="David" w:hint="cs"/>
          <w:rtl/>
        </w:rPr>
        <w:t xml:space="preserve"> הקורא קרא שלושה פסוקים לכל עולה, וסיים לפני הפרשה הפתוחה. הפסוקים אינם קצרים, ולכן הציבור לא שת לבו לכך שהקורא לא קרא עשרה פסוקים. רק אחרי החזרת ספר התורה מישהו עיין ושם לב לכך שלא קראו עשרה פסוקים.</w:t>
      </w:r>
    </w:p>
    <w:p w14:paraId="59BE5076" w14:textId="59BA3894" w:rsidR="00466122" w:rsidRPr="00466122" w:rsidRDefault="00466122" w:rsidP="00E42494">
      <w:pPr>
        <w:contextualSpacing/>
        <w:rPr>
          <w:rFonts w:ascii="David" w:hAnsi="David" w:cs="David"/>
          <w:rtl/>
        </w:rPr>
      </w:pPr>
      <w:r w:rsidRPr="00466122">
        <w:rPr>
          <w:rFonts w:ascii="David" w:hAnsi="David" w:cs="David" w:hint="cs"/>
          <w:rtl/>
        </w:rPr>
        <w:t>נשאלתי אם על הציבור לחזור ולהוציא ספר תורה ולקרוא שנית.</w:t>
      </w:r>
    </w:p>
    <w:p w14:paraId="7521B10E" w14:textId="6058B9CD" w:rsidR="00466122" w:rsidRPr="00466122" w:rsidRDefault="00466122" w:rsidP="00466122">
      <w:pPr>
        <w:contextualSpacing/>
        <w:rPr>
          <w:rFonts w:ascii="David" w:hAnsi="David" w:cs="David"/>
          <w:sz w:val="10"/>
          <w:szCs w:val="10"/>
          <w:rtl/>
        </w:rPr>
      </w:pPr>
    </w:p>
    <w:p w14:paraId="28925F66" w14:textId="0E6C37B9" w:rsidR="00466122" w:rsidRPr="00466122" w:rsidRDefault="00466122" w:rsidP="00466122">
      <w:pPr>
        <w:contextualSpacing/>
        <w:rPr>
          <w:rFonts w:ascii="David" w:hAnsi="David" w:cs="David"/>
          <w:rtl/>
        </w:rPr>
      </w:pPr>
      <w:r w:rsidRPr="00466122">
        <w:rPr>
          <w:rFonts w:ascii="David" w:hAnsi="David" w:cs="David" w:hint="cs"/>
          <w:rtl/>
        </w:rPr>
        <w:t xml:space="preserve">האמת שזהו מצב די חריג. בדרך כלל הציבור יודע לומר לבעל הקורא להמשיך עד לפסוק </w:t>
      </w:r>
      <w:proofErr w:type="spellStart"/>
      <w:r w:rsidRPr="00466122">
        <w:rPr>
          <w:rFonts w:ascii="David" w:hAnsi="David" w:cs="David" w:hint="cs"/>
          <w:rtl/>
        </w:rPr>
        <w:t>יג</w:t>
      </w:r>
      <w:proofErr w:type="spellEnd"/>
      <w:r w:rsidRPr="00466122">
        <w:rPr>
          <w:rFonts w:ascii="David" w:hAnsi="David" w:cs="David" w:hint="cs"/>
          <w:rtl/>
        </w:rPr>
        <w:t>, כנהוג.</w:t>
      </w:r>
    </w:p>
    <w:p w14:paraId="12628288" w14:textId="3E09D11F" w:rsidR="00466122" w:rsidRPr="00466122" w:rsidRDefault="00466122" w:rsidP="00466122">
      <w:pPr>
        <w:contextualSpacing/>
        <w:rPr>
          <w:rFonts w:ascii="David" w:hAnsi="David" w:cs="David"/>
          <w:rtl/>
        </w:rPr>
      </w:pPr>
      <w:r w:rsidRPr="00466122">
        <w:rPr>
          <w:rFonts w:ascii="David" w:hAnsi="David" w:cs="David" w:hint="cs"/>
          <w:rtl/>
        </w:rPr>
        <w:t>שאלה זו נפוצה יותר בתחילת פרשת תצווה. פרשת תצווה פותחת בשני פסוקים ארוכים יחסית, ולאחר מכן רווח של פרשה פתוחה. לולא שהיו אלו שני פסוקים בלבד היה זה מקום אידיאלי לעצירה בשני וחמישי. פעמים רבות הקורא מתבלבל ועוצר, בשל הרווח, ולמרות שהציבור יודע שאמורים להמשיך, לא מקפידים עליו, שכן הוא יכול להוסיף את הפסוקים שלא קרא בעלייה הבאה. אילו היו כאן שלושה פסוקים אכן לא היה צורך לתקן אותו ולומר לו להמשיך. אך מדובר בשני פסוקים בלבד, ועולה השאלה מה לעשות בדיעבד.</w:t>
      </w:r>
    </w:p>
    <w:p w14:paraId="683650E7" w14:textId="562FFE09" w:rsidR="00466122" w:rsidRPr="00466122" w:rsidRDefault="00466122" w:rsidP="00466122">
      <w:pPr>
        <w:contextualSpacing/>
        <w:rPr>
          <w:rFonts w:ascii="David" w:hAnsi="David" w:cs="David"/>
          <w:sz w:val="10"/>
          <w:szCs w:val="10"/>
          <w:rtl/>
        </w:rPr>
      </w:pPr>
    </w:p>
    <w:p w14:paraId="06CAA249" w14:textId="5115F749" w:rsidR="00466122" w:rsidRPr="00466122" w:rsidRDefault="00466122" w:rsidP="00466122">
      <w:pPr>
        <w:contextualSpacing/>
        <w:rPr>
          <w:rFonts w:ascii="David" w:hAnsi="David" w:cs="David"/>
          <w:rtl/>
        </w:rPr>
      </w:pPr>
      <w:r w:rsidRPr="00466122">
        <w:rPr>
          <w:rFonts w:ascii="David" w:hAnsi="David" w:cs="David" w:hint="cs"/>
          <w:rtl/>
        </w:rPr>
        <w:t xml:space="preserve">בשולחן ערוך (אורח חיים סימן </w:t>
      </w:r>
      <w:proofErr w:type="spellStart"/>
      <w:r w:rsidRPr="00466122">
        <w:rPr>
          <w:rFonts w:ascii="David" w:hAnsi="David" w:cs="David" w:hint="cs"/>
          <w:rtl/>
        </w:rPr>
        <w:t>קלז</w:t>
      </w:r>
      <w:proofErr w:type="spellEnd"/>
      <w:r w:rsidRPr="00466122">
        <w:rPr>
          <w:rFonts w:ascii="David" w:hAnsi="David" w:cs="David" w:hint="cs"/>
          <w:rtl/>
        </w:rPr>
        <w:t xml:space="preserve"> ד) פוסק שאם הקורא קרא שני פסוקים ובירך, על העולה לברך ולקרוא שנית (המשנה ברורה מסביר בשם האחרונים שאם עדיין לא בירך ברכה אחרונה יפתחו את הספר שנית וישלימו, אך אם בירך ברכה אחרונה עליו לברך ברכה ראשונה שנית!). אך אם הקורא קרא שלושה פסוקים לכל עולה, אין צורך לחזור, למרות שבסך </w:t>
      </w:r>
      <w:proofErr w:type="spellStart"/>
      <w:r w:rsidRPr="00466122">
        <w:rPr>
          <w:rFonts w:ascii="David" w:hAnsi="David" w:cs="David" w:hint="cs"/>
          <w:rtl/>
        </w:rPr>
        <w:t>הכל</w:t>
      </w:r>
      <w:proofErr w:type="spellEnd"/>
      <w:r w:rsidRPr="00466122">
        <w:rPr>
          <w:rFonts w:ascii="David" w:hAnsi="David" w:cs="David" w:hint="cs"/>
          <w:rtl/>
        </w:rPr>
        <w:t xml:space="preserve"> הקורא קרא תשעה פסוקים בלבד. וראיה לדבר פרשת עמלק שאנו קוראים בפורים, שיש בה תשעה פסוקים בלבד.</w:t>
      </w:r>
    </w:p>
    <w:p w14:paraId="26C0815E" w14:textId="3FAF4AF9" w:rsidR="00466122" w:rsidRPr="00466122" w:rsidRDefault="00466122" w:rsidP="00466122">
      <w:pPr>
        <w:contextualSpacing/>
        <w:rPr>
          <w:rFonts w:ascii="David" w:hAnsi="David" w:cs="David"/>
          <w:rtl/>
        </w:rPr>
      </w:pPr>
      <w:r w:rsidRPr="00466122">
        <w:rPr>
          <w:rFonts w:ascii="David" w:hAnsi="David" w:cs="David" w:hint="cs"/>
          <w:rtl/>
        </w:rPr>
        <w:t xml:space="preserve">ברם, </w:t>
      </w:r>
      <w:proofErr w:type="spellStart"/>
      <w:r w:rsidRPr="00466122">
        <w:rPr>
          <w:rFonts w:ascii="David" w:hAnsi="David" w:cs="David" w:hint="cs"/>
          <w:rtl/>
        </w:rPr>
        <w:t>הגר"א</w:t>
      </w:r>
      <w:proofErr w:type="spellEnd"/>
      <w:r w:rsidRPr="00466122">
        <w:rPr>
          <w:rFonts w:ascii="David" w:hAnsi="David" w:cs="David" w:hint="cs"/>
          <w:rtl/>
        </w:rPr>
        <w:t xml:space="preserve"> מביא בשם התוספות והגהות </w:t>
      </w:r>
      <w:proofErr w:type="spellStart"/>
      <w:r w:rsidRPr="00466122">
        <w:rPr>
          <w:rFonts w:ascii="David" w:hAnsi="David" w:cs="David" w:hint="cs"/>
          <w:rtl/>
        </w:rPr>
        <w:t>מיימוניות</w:t>
      </w:r>
      <w:proofErr w:type="spellEnd"/>
      <w:r w:rsidRPr="00466122">
        <w:rPr>
          <w:rFonts w:ascii="David" w:hAnsi="David" w:cs="David" w:hint="cs"/>
          <w:rtl/>
        </w:rPr>
        <w:t xml:space="preserve"> שאם קרא תשעה פסוקים בלבד יש לחזור ולקרוא, ומשמע שהמשנה ברורה חושש לדעתו, אך אומר לקרוא עשרה פסוקים ללא ברכה, לחשוש לשתי הדעות.</w:t>
      </w:r>
    </w:p>
    <w:p w14:paraId="422FCB7D" w14:textId="39D0D8FB" w:rsidR="00466122" w:rsidRPr="00466122" w:rsidRDefault="00466122" w:rsidP="00466122">
      <w:pPr>
        <w:contextualSpacing/>
        <w:rPr>
          <w:rFonts w:ascii="David" w:hAnsi="David" w:cs="David"/>
          <w:rtl/>
        </w:rPr>
      </w:pPr>
      <w:r w:rsidRPr="00466122">
        <w:rPr>
          <w:rFonts w:ascii="David" w:hAnsi="David" w:cs="David" w:hint="cs"/>
          <w:rtl/>
        </w:rPr>
        <w:t xml:space="preserve">אם כך, על פניו ההלכה פשוטה </w:t>
      </w:r>
      <w:r w:rsidRPr="00466122">
        <w:rPr>
          <w:rFonts w:ascii="David" w:hAnsi="David" w:cs="David"/>
          <w:rtl/>
        </w:rPr>
        <w:t>–</w:t>
      </w:r>
      <w:r w:rsidRPr="00466122">
        <w:rPr>
          <w:rFonts w:ascii="David" w:hAnsi="David" w:cs="David" w:hint="cs"/>
          <w:rtl/>
        </w:rPr>
        <w:t xml:space="preserve"> יש לקרוא עשרה פסוקים, ולכאורה גם בדיעבד שהחזירו את הספר לארון הקודש יש לחזור ולקרוא.</w:t>
      </w:r>
    </w:p>
    <w:p w14:paraId="3E9E5A2B" w14:textId="77777777" w:rsidR="00466122" w:rsidRPr="00466122" w:rsidRDefault="00466122" w:rsidP="00466122">
      <w:pPr>
        <w:contextualSpacing/>
        <w:rPr>
          <w:rFonts w:ascii="David" w:hAnsi="David" w:cs="David"/>
          <w:sz w:val="10"/>
          <w:szCs w:val="10"/>
          <w:rtl/>
        </w:rPr>
      </w:pPr>
    </w:p>
    <w:p w14:paraId="5BF602B4" w14:textId="1ECA8C8F" w:rsidR="00466122" w:rsidRPr="00466122" w:rsidRDefault="00466122" w:rsidP="00466122">
      <w:pPr>
        <w:contextualSpacing/>
        <w:rPr>
          <w:rFonts w:ascii="David" w:hAnsi="David" w:cs="David"/>
          <w:rtl/>
        </w:rPr>
      </w:pPr>
      <w:r w:rsidRPr="00466122">
        <w:rPr>
          <w:rFonts w:ascii="David" w:hAnsi="David" w:cs="David" w:hint="cs"/>
          <w:rtl/>
        </w:rPr>
        <w:t xml:space="preserve">אך הרב </w:t>
      </w:r>
      <w:proofErr w:type="spellStart"/>
      <w:r w:rsidRPr="00466122">
        <w:rPr>
          <w:rFonts w:ascii="David" w:hAnsi="David" w:cs="David" w:hint="cs"/>
          <w:rtl/>
        </w:rPr>
        <w:t>פיינשטיין</w:t>
      </w:r>
      <w:proofErr w:type="spellEnd"/>
      <w:r w:rsidRPr="00466122">
        <w:rPr>
          <w:rFonts w:ascii="David" w:hAnsi="David" w:cs="David" w:hint="cs"/>
          <w:rtl/>
        </w:rPr>
        <w:t xml:space="preserve"> (שו"ת אגרות משה אורח חיים א לה) אומר שהדברים אינם כל כך פשוטים.</w:t>
      </w:r>
    </w:p>
    <w:p w14:paraId="07D2A07D" w14:textId="126C6280" w:rsidR="00466122" w:rsidRPr="00466122" w:rsidRDefault="00466122" w:rsidP="00466122">
      <w:pPr>
        <w:contextualSpacing/>
        <w:rPr>
          <w:rFonts w:ascii="David" w:hAnsi="David" w:cs="David"/>
          <w:rtl/>
        </w:rPr>
      </w:pPr>
      <w:r w:rsidRPr="00466122">
        <w:rPr>
          <w:rFonts w:ascii="David" w:hAnsi="David" w:cs="David" w:hint="cs"/>
          <w:rtl/>
        </w:rPr>
        <w:t>במסכת קידושין (דף ל ע"א) הגמרא אומרת שמחצית הפסוקים בתורה היא בספר ויקרא (</w:t>
      </w:r>
      <w:proofErr w:type="spellStart"/>
      <w:r w:rsidRPr="00466122">
        <w:rPr>
          <w:rFonts w:ascii="David" w:hAnsi="David" w:cs="David" w:hint="cs"/>
          <w:rtl/>
        </w:rPr>
        <w:t>יג</w:t>
      </w:r>
      <w:proofErr w:type="spellEnd"/>
      <w:r w:rsidRPr="00466122">
        <w:rPr>
          <w:rFonts w:ascii="David" w:hAnsi="David" w:cs="David" w:hint="cs"/>
          <w:rtl/>
        </w:rPr>
        <w:t xml:space="preserve"> לג) בפסוק המתחיל במילה "והתגלח". אך בדיקת חלוקת הפסוקים שלנו תביא אותנו למחצית הפסוקים היא בפרק ח פסוק </w:t>
      </w:r>
      <w:proofErr w:type="spellStart"/>
      <w:r w:rsidRPr="00466122">
        <w:rPr>
          <w:rFonts w:ascii="David" w:hAnsi="David" w:cs="David" w:hint="cs"/>
          <w:rtl/>
        </w:rPr>
        <w:t>לז</w:t>
      </w:r>
      <w:proofErr w:type="spellEnd"/>
      <w:r w:rsidRPr="00466122">
        <w:rPr>
          <w:rFonts w:ascii="David" w:hAnsi="David" w:cs="David" w:hint="cs"/>
          <w:rtl/>
        </w:rPr>
        <w:t>, חמישה פרקים קודם לכן! אם כך, ברור שיש הבדל בין חלוקת הפסוקים שלנו וחלוקת הפסוקים של חז"ל.</w:t>
      </w:r>
    </w:p>
    <w:p w14:paraId="3663A0DF" w14:textId="76BFA47D" w:rsidR="00466122" w:rsidRPr="00466122" w:rsidRDefault="00466122" w:rsidP="00466122">
      <w:pPr>
        <w:contextualSpacing/>
        <w:rPr>
          <w:rFonts w:ascii="David" w:hAnsi="David" w:cs="David"/>
          <w:rtl/>
        </w:rPr>
      </w:pPr>
      <w:r w:rsidRPr="00466122">
        <w:rPr>
          <w:rFonts w:ascii="David" w:hAnsi="David" w:cs="David" w:hint="cs"/>
          <w:rtl/>
        </w:rPr>
        <w:t>המשמעות היא שאיננו בטוחים היכן הפסוקים מתחלקים. אם הפסוקים קצרים, סביר שזהו האורך האמיתי של הפסוק. אך ברור שישנם פסוקים ארוכים רבים המחולקים בצורה שונה מהצורה המקורית.</w:t>
      </w:r>
    </w:p>
    <w:p w14:paraId="271F4D1A" w14:textId="43D9A322" w:rsidR="00466122" w:rsidRPr="00466122" w:rsidRDefault="00466122" w:rsidP="00466122">
      <w:pPr>
        <w:contextualSpacing/>
        <w:rPr>
          <w:rFonts w:ascii="David" w:hAnsi="David" w:cs="David"/>
          <w:rtl/>
        </w:rPr>
      </w:pPr>
      <w:r w:rsidRPr="00466122">
        <w:rPr>
          <w:rFonts w:ascii="David" w:hAnsi="David" w:cs="David" w:hint="cs"/>
          <w:rtl/>
        </w:rPr>
        <w:t xml:space="preserve">הרב </w:t>
      </w:r>
      <w:proofErr w:type="spellStart"/>
      <w:r w:rsidRPr="00466122">
        <w:rPr>
          <w:rFonts w:ascii="David" w:hAnsi="David" w:cs="David" w:hint="cs"/>
          <w:rtl/>
        </w:rPr>
        <w:t>פיינשטיין</w:t>
      </w:r>
      <w:proofErr w:type="spellEnd"/>
      <w:r w:rsidRPr="00466122">
        <w:rPr>
          <w:rFonts w:ascii="David" w:hAnsi="David" w:cs="David" w:hint="cs"/>
          <w:rtl/>
        </w:rPr>
        <w:t xml:space="preserve"> גוזר מכך מספר נפקא מינות:</w:t>
      </w:r>
    </w:p>
    <w:p w14:paraId="76DD99DC" w14:textId="5CC676D1" w:rsidR="00466122" w:rsidRPr="00466122" w:rsidRDefault="00466122" w:rsidP="00466122">
      <w:pPr>
        <w:contextualSpacing/>
        <w:rPr>
          <w:rFonts w:ascii="David" w:hAnsi="David" w:cs="David"/>
          <w:rtl/>
        </w:rPr>
      </w:pPr>
      <w:r w:rsidRPr="00466122">
        <w:rPr>
          <w:rFonts w:ascii="David" w:hAnsi="David" w:cs="David" w:hint="cs"/>
          <w:rtl/>
        </w:rPr>
        <w:t xml:space="preserve">הקורא קרא ללוי במנחה של פרשת "תזריע" שני פסוקים בלבד, והלוי בירך ברכה אחרונה. אמר הרב </w:t>
      </w:r>
      <w:proofErr w:type="spellStart"/>
      <w:r w:rsidRPr="00466122">
        <w:rPr>
          <w:rFonts w:ascii="David" w:hAnsi="David" w:cs="David" w:hint="cs"/>
          <w:rtl/>
        </w:rPr>
        <w:t>פיינשטיין</w:t>
      </w:r>
      <w:proofErr w:type="spellEnd"/>
      <w:r w:rsidRPr="00466122">
        <w:rPr>
          <w:rFonts w:ascii="David" w:hAnsi="David" w:cs="David" w:hint="cs"/>
          <w:rtl/>
        </w:rPr>
        <w:t xml:space="preserve">: מעיקר הדין היה נכון שהלוי יברך ויקראו לו שוב. אך יש לנו ספק, ולכן עדיף להעלות ישראל, יקראו לו שלושה פסוקים, ויעלו ישראל נוסף. מכיוון שהוספת עולה נוסף מותרת, ואם </w:t>
      </w:r>
      <w:proofErr w:type="spellStart"/>
      <w:r w:rsidRPr="00466122">
        <w:rPr>
          <w:rFonts w:ascii="David" w:hAnsi="David" w:cs="David" w:hint="cs"/>
          <w:rtl/>
        </w:rPr>
        <w:t>העליה</w:t>
      </w:r>
      <w:proofErr w:type="spellEnd"/>
      <w:r w:rsidRPr="00466122">
        <w:rPr>
          <w:rFonts w:ascii="David" w:hAnsi="David" w:cs="David" w:hint="cs"/>
          <w:rtl/>
        </w:rPr>
        <w:t xml:space="preserve"> של הלוי הייתה שני פסוקים בלבד עתה משלימים את העולה השלישי.</w:t>
      </w:r>
    </w:p>
    <w:p w14:paraId="2E648EB3" w14:textId="6230EC2E" w:rsidR="00466122" w:rsidRPr="00466122" w:rsidRDefault="00466122" w:rsidP="00466122">
      <w:pPr>
        <w:contextualSpacing/>
        <w:rPr>
          <w:rFonts w:ascii="David" w:hAnsi="David" w:cs="David"/>
          <w:rtl/>
        </w:rPr>
      </w:pPr>
      <w:r w:rsidRPr="00466122">
        <w:rPr>
          <w:rFonts w:ascii="David" w:hAnsi="David" w:cs="David" w:hint="cs"/>
          <w:rtl/>
        </w:rPr>
        <w:t>במקרה שהצגנו מפרשת תצווה, מעיקר הדין היה להם להתחיל את הקריאה מחדש. אך מכיוון שיש ספק, ניתן להמשיך, ולהעלות עולה רביעי.</w:t>
      </w:r>
    </w:p>
    <w:p w14:paraId="62C33394" w14:textId="2BB91018" w:rsidR="00466122" w:rsidRPr="00466122" w:rsidRDefault="00466122" w:rsidP="00466122">
      <w:pPr>
        <w:contextualSpacing/>
        <w:rPr>
          <w:rFonts w:ascii="David" w:hAnsi="David" w:cs="David"/>
          <w:rtl/>
        </w:rPr>
      </w:pPr>
      <w:r w:rsidRPr="00466122">
        <w:rPr>
          <w:rFonts w:ascii="David" w:hAnsi="David" w:cs="David" w:hint="cs"/>
          <w:rtl/>
        </w:rPr>
        <w:t>ואם החזירו את ספר התורה לפני ששמו לב, לכאורה אין להוציא את ספר התורה שנית, שכן יש ספק שכל הקריאה החדשה שיעשו מיותרת.</w:t>
      </w:r>
    </w:p>
    <w:p w14:paraId="759EAAB3" w14:textId="424A87F8" w:rsidR="00466122" w:rsidRPr="00466122" w:rsidRDefault="00466122" w:rsidP="00466122">
      <w:pPr>
        <w:contextualSpacing/>
        <w:rPr>
          <w:rFonts w:ascii="David" w:hAnsi="David" w:cs="David"/>
          <w:rtl/>
        </w:rPr>
      </w:pPr>
      <w:r w:rsidRPr="00466122">
        <w:rPr>
          <w:rFonts w:ascii="David" w:hAnsi="David" w:cs="David" w:hint="cs"/>
          <w:rtl/>
        </w:rPr>
        <w:t>והוא הדין במקרה שלכם: כל עוד הציבור שם, ודאי שהדבר הנכון לעשות הוא להעלות עולה רביעי ולקרוא לפחות שלושה פסוקים נוספים (במקרה זה היה נכון לקרוא ארבעה פסוקים נוספים, בכדי לעצור במקום שרוב הציבור עוצר בו). אך אם כבר החזירו את ספר התורה נראה שלא נכון להוציא אותו מחדש, שכן סביר מאוד שבעצם נקראו עשרה פסוקים.</w:t>
      </w:r>
    </w:p>
    <w:p w14:paraId="3EE8FD81" w14:textId="77777777" w:rsidR="00466122" w:rsidRPr="00205B55" w:rsidRDefault="00466122" w:rsidP="00466122">
      <w:pPr>
        <w:contextualSpacing/>
        <w:rPr>
          <w:rFonts w:ascii="David" w:hAnsi="David" w:cs="David"/>
          <w:sz w:val="10"/>
          <w:szCs w:val="10"/>
        </w:rPr>
      </w:pPr>
    </w:p>
    <w:p w14:paraId="66840C05" w14:textId="77777777" w:rsidR="00E008F5" w:rsidRPr="00466122" w:rsidRDefault="00E008F5" w:rsidP="00E008F5">
      <w:pPr>
        <w:contextualSpacing/>
        <w:rPr>
          <w:rFonts w:ascii="David" w:eastAsia="Calibri" w:hAnsi="David" w:cs="David"/>
          <w:sz w:val="10"/>
          <w:szCs w:val="10"/>
          <w:rtl/>
          <w:lang w:eastAsia="he-IL"/>
        </w:rPr>
      </w:pPr>
    </w:p>
    <w:p w14:paraId="754C0CDC" w14:textId="65A54EE0" w:rsidR="006333D3" w:rsidRDefault="007104FA" w:rsidP="00BE31A3">
      <w:pPr>
        <w:contextualSpacing/>
        <w:jc w:val="center"/>
        <w:rPr>
          <w:color w:val="0070C0"/>
          <w:rtl/>
        </w:rPr>
      </w:pPr>
      <w:hyperlink r:id="rId16" w:history="1">
        <w:r w:rsidR="009B609E" w:rsidRPr="00BE31A3">
          <w:rPr>
            <w:rStyle w:val="Hyperlink"/>
            <w:rFonts w:cs="David" w:hint="cs"/>
            <w:b/>
            <w:bCs/>
            <w:sz w:val="22"/>
            <w:szCs w:val="22"/>
            <w:rtl/>
            <w:lang w:eastAsia="he-IL"/>
          </w:rPr>
          <w:t>ארץ חמדה –</w:t>
        </w:r>
        <w:r w:rsidR="00C816D3" w:rsidRPr="00BE31A3">
          <w:rPr>
            <w:rStyle w:val="Hyperlink"/>
            <w:rFonts w:cs="David" w:hint="cs"/>
            <w:b/>
            <w:bCs/>
            <w:sz w:val="22"/>
            <w:szCs w:val="22"/>
            <w:rtl/>
            <w:lang w:eastAsia="he-IL"/>
          </w:rPr>
          <w:t xml:space="preserve"> קישור לשיעורי "מורנו" ביוטיוב</w:t>
        </w:r>
      </w:hyperlink>
      <w:r w:rsidR="00BE31A3">
        <w:rPr>
          <w:rFonts w:cs="David" w:hint="cs"/>
          <w:b/>
          <w:bCs/>
          <w:color w:val="002060"/>
          <w:sz w:val="21"/>
          <w:szCs w:val="21"/>
          <w:rtl/>
          <w:lang w:eastAsia="he-IL"/>
        </w:rPr>
        <w:t xml:space="preserve">                  </w:t>
      </w:r>
      <w:r w:rsidR="006333D3" w:rsidRPr="00DD6714">
        <w:rPr>
          <w:rFonts w:cs="David"/>
          <w:b/>
          <w:bCs/>
          <w:color w:val="0070C0"/>
          <w:rtl/>
          <w:lang w:eastAsia="he-IL"/>
        </w:rPr>
        <w:t>ניתן ליצור קשר עם הכותבים דרך</w:t>
      </w:r>
      <w:r w:rsidR="006333D3" w:rsidRPr="00DD6714">
        <w:rPr>
          <w:rFonts w:cs="David" w:hint="cs"/>
          <w:b/>
          <w:bCs/>
          <w:color w:val="0070C0"/>
          <w:rtl/>
          <w:lang w:eastAsia="he-IL"/>
        </w:rPr>
        <w:t xml:space="preserve">: </w:t>
      </w:r>
      <w:r w:rsidR="006333D3" w:rsidRPr="00DD6714">
        <w:rPr>
          <w:rFonts w:cs="David"/>
          <w:b/>
          <w:bCs/>
          <w:color w:val="0070C0"/>
          <w:rtl/>
          <w:lang w:eastAsia="he-IL"/>
        </w:rPr>
        <w:t xml:space="preserve"> </w:t>
      </w:r>
      <w:hyperlink r:id="rId17" w:history="1">
        <w:r w:rsidR="006333D3" w:rsidRPr="00DD6714">
          <w:rPr>
            <w:color w:val="0070C0"/>
          </w:rPr>
          <w:t>info@eretzhemdah.org</w:t>
        </w:r>
      </w:hyperlink>
    </w:p>
    <w:p w14:paraId="618D31F4" w14:textId="146FBA60" w:rsidR="00FD6695" w:rsidRPr="008811EE" w:rsidRDefault="00FD6695" w:rsidP="00FD6695">
      <w:pPr>
        <w:rPr>
          <w:sz w:val="14"/>
          <w:szCs w:val="14"/>
          <w:rtl/>
        </w:rPr>
      </w:pPr>
    </w:p>
    <w:tbl>
      <w:tblPr>
        <w:tblStyle w:val="1f8"/>
        <w:tblpPr w:leftFromText="180" w:rightFromText="180" w:vertAnchor="text" w:horzAnchor="margin" w:tblpXSpec="center" w:tblpY="13"/>
        <w:bidiVisual/>
        <w:tblW w:w="10514" w:type="dxa"/>
        <w:tblLook w:val="04A0" w:firstRow="1" w:lastRow="0" w:firstColumn="1" w:lastColumn="0" w:noHBand="0" w:noVBand="1"/>
      </w:tblPr>
      <w:tblGrid>
        <w:gridCol w:w="1303"/>
        <w:gridCol w:w="282"/>
        <w:gridCol w:w="11"/>
        <w:gridCol w:w="704"/>
        <w:gridCol w:w="701"/>
        <w:gridCol w:w="567"/>
        <w:gridCol w:w="146"/>
        <w:gridCol w:w="704"/>
        <w:gridCol w:w="571"/>
        <w:gridCol w:w="142"/>
        <w:gridCol w:w="138"/>
        <w:gridCol w:w="850"/>
        <w:gridCol w:w="287"/>
        <w:gridCol w:w="430"/>
        <w:gridCol w:w="294"/>
        <w:gridCol w:w="123"/>
        <w:gridCol w:w="430"/>
        <w:gridCol w:w="141"/>
        <w:gridCol w:w="851"/>
        <w:gridCol w:w="275"/>
        <w:gridCol w:w="717"/>
        <w:gridCol w:w="847"/>
      </w:tblGrid>
      <w:tr w:rsidR="00C2199C" w:rsidRPr="003A5DA7" w14:paraId="5CC7EFF4" w14:textId="77777777" w:rsidTr="00085C8C">
        <w:tc>
          <w:tcPr>
            <w:tcW w:w="6836" w:type="dxa"/>
            <w:gridSpan w:val="14"/>
            <w:tcBorders>
              <w:top w:val="single" w:sz="4" w:space="0" w:color="auto"/>
              <w:left w:val="single" w:sz="4" w:space="0" w:color="auto"/>
              <w:bottom w:val="nil"/>
              <w:right w:val="nil"/>
            </w:tcBorders>
            <w:vAlign w:val="center"/>
          </w:tcPr>
          <w:p w14:paraId="4D0BDE93" w14:textId="4D709520" w:rsidR="00C2199C" w:rsidRPr="00F5215F" w:rsidRDefault="00C2199C" w:rsidP="00085C8C">
            <w:pPr>
              <w:spacing w:line="276" w:lineRule="auto"/>
              <w:contextualSpacing/>
              <w:jc w:val="center"/>
              <w:rPr>
                <w:rFonts w:cs="David"/>
                <w:b/>
                <w:bCs/>
                <w:sz w:val="6"/>
                <w:szCs w:val="6"/>
                <w:u w:val="single"/>
                <w:rtl/>
              </w:rPr>
            </w:pPr>
          </w:p>
          <w:p w14:paraId="5B6680CC" w14:textId="77777777" w:rsidR="00C2199C" w:rsidRPr="00785CA6" w:rsidRDefault="00C2199C" w:rsidP="00085C8C">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78" w:type="dxa"/>
            <w:gridSpan w:val="8"/>
            <w:tcBorders>
              <w:top w:val="single" w:sz="4" w:space="0" w:color="auto"/>
              <w:left w:val="nil"/>
              <w:bottom w:val="nil"/>
              <w:right w:val="single" w:sz="4" w:space="0" w:color="auto"/>
            </w:tcBorders>
            <w:vAlign w:val="center"/>
          </w:tcPr>
          <w:p w14:paraId="0667F252" w14:textId="77777777" w:rsidR="00C2199C" w:rsidRPr="00C55962" w:rsidRDefault="00C2199C" w:rsidP="00085C8C">
            <w:pPr>
              <w:spacing w:line="276" w:lineRule="auto"/>
              <w:contextualSpacing/>
              <w:jc w:val="center"/>
              <w:rPr>
                <w:rFonts w:ascii="Calibri" w:eastAsia="Calibri" w:hAnsi="Calibri" w:cs="David"/>
                <w:b/>
                <w:bCs/>
                <w:color w:val="0070C0"/>
                <w:sz w:val="22"/>
                <w:szCs w:val="22"/>
                <w:rtl/>
              </w:rPr>
            </w:pPr>
            <w:r w:rsidRPr="00C55962">
              <w:rPr>
                <w:rFonts w:cs="David" w:hint="cs"/>
                <w:b/>
                <w:bCs/>
                <w:color w:val="0070C0"/>
                <w:sz w:val="22"/>
                <w:szCs w:val="22"/>
                <w:rtl/>
              </w:rPr>
              <w:t>החייל, איתמר חיים בן ציפי ציפורה</w:t>
            </w:r>
          </w:p>
        </w:tc>
      </w:tr>
      <w:tr w:rsidR="00C2199C" w:rsidRPr="003A5DA7" w14:paraId="46474002" w14:textId="77777777" w:rsidTr="00085C8C">
        <w:tc>
          <w:tcPr>
            <w:tcW w:w="1585" w:type="dxa"/>
            <w:gridSpan w:val="2"/>
            <w:tcBorders>
              <w:top w:val="nil"/>
              <w:left w:val="single" w:sz="4" w:space="0" w:color="auto"/>
              <w:bottom w:val="nil"/>
              <w:right w:val="nil"/>
            </w:tcBorders>
          </w:tcPr>
          <w:p w14:paraId="7D4D5E5F" w14:textId="77777777" w:rsidR="00C2199C" w:rsidRPr="003A5DA7" w:rsidRDefault="00C2199C" w:rsidP="00085C8C">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3" w:type="dxa"/>
            <w:gridSpan w:val="4"/>
            <w:tcBorders>
              <w:top w:val="nil"/>
              <w:left w:val="nil"/>
              <w:bottom w:val="nil"/>
              <w:right w:val="nil"/>
            </w:tcBorders>
          </w:tcPr>
          <w:p w14:paraId="1C2A5095" w14:textId="2DA0076D" w:rsidR="00C2199C" w:rsidRPr="003A5DA7" w:rsidRDefault="00C2199C" w:rsidP="00085C8C">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701" w:type="dxa"/>
            <w:gridSpan w:val="5"/>
            <w:tcBorders>
              <w:top w:val="nil"/>
              <w:left w:val="nil"/>
              <w:bottom w:val="nil"/>
              <w:right w:val="nil"/>
            </w:tcBorders>
            <w:vAlign w:val="center"/>
          </w:tcPr>
          <w:p w14:paraId="1E623787" w14:textId="77777777" w:rsidR="00C2199C" w:rsidRPr="003A5DA7" w:rsidRDefault="00C2199C" w:rsidP="00085C8C">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1861" w:type="dxa"/>
            <w:gridSpan w:val="4"/>
            <w:tcBorders>
              <w:top w:val="nil"/>
              <w:left w:val="nil"/>
              <w:bottom w:val="nil"/>
              <w:right w:val="nil"/>
            </w:tcBorders>
            <w:vAlign w:val="center"/>
          </w:tcPr>
          <w:p w14:paraId="38F8EFE3" w14:textId="77777777" w:rsidR="00C2199C" w:rsidRPr="003A5DA7" w:rsidRDefault="00C2199C" w:rsidP="00085C8C">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3384" w:type="dxa"/>
            <w:gridSpan w:val="7"/>
            <w:tcBorders>
              <w:top w:val="nil"/>
              <w:left w:val="nil"/>
              <w:bottom w:val="nil"/>
              <w:right w:val="single" w:sz="4" w:space="0" w:color="auto"/>
            </w:tcBorders>
            <w:vAlign w:val="center"/>
          </w:tcPr>
          <w:p w14:paraId="4117B9FF" w14:textId="77777777" w:rsidR="00C2199C" w:rsidRPr="003A5DA7" w:rsidRDefault="00C2199C" w:rsidP="00085C8C">
            <w:pPr>
              <w:spacing w:line="276" w:lineRule="auto"/>
              <w:contextualSpacing/>
              <w:jc w:val="center"/>
              <w:rPr>
                <w:rFonts w:cs="David"/>
                <w:b/>
                <w:bCs/>
                <w:color w:val="0070C0"/>
                <w:sz w:val="20"/>
                <w:szCs w:val="20"/>
              </w:rPr>
            </w:pPr>
            <w:r w:rsidRPr="003A5DA7">
              <w:rPr>
                <w:rFonts w:ascii="Calibri" w:eastAsia="Calibri" w:hAnsi="Calibri" w:cs="David"/>
                <w:b/>
                <w:bCs/>
                <w:color w:val="0070C0"/>
                <w:sz w:val="20"/>
                <w:szCs w:val="20"/>
                <w:rtl/>
              </w:rPr>
              <w:t>מיכאל אלכסנדר אברהם בן שרה מלכה</w:t>
            </w:r>
            <w:r>
              <w:rPr>
                <w:rFonts w:cs="David" w:hint="cs"/>
                <w:b/>
                <w:bCs/>
                <w:color w:val="0070C0"/>
                <w:sz w:val="20"/>
                <w:szCs w:val="20"/>
                <w:rtl/>
              </w:rPr>
              <w:t xml:space="preserve"> </w:t>
            </w:r>
          </w:p>
        </w:tc>
      </w:tr>
      <w:tr w:rsidR="00C2199C" w:rsidRPr="003A5DA7" w14:paraId="584E0ACF" w14:textId="77777777" w:rsidTr="00085C8C">
        <w:tc>
          <w:tcPr>
            <w:tcW w:w="1303" w:type="dxa"/>
            <w:tcBorders>
              <w:top w:val="nil"/>
              <w:left w:val="single" w:sz="4" w:space="0" w:color="auto"/>
              <w:bottom w:val="nil"/>
              <w:right w:val="nil"/>
            </w:tcBorders>
          </w:tcPr>
          <w:p w14:paraId="366F546F" w14:textId="77777777" w:rsidR="00C2199C" w:rsidRPr="003A5DA7" w:rsidRDefault="00C2199C" w:rsidP="00085C8C">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8" w:type="dxa"/>
            <w:gridSpan w:val="4"/>
            <w:tcBorders>
              <w:top w:val="nil"/>
              <w:left w:val="nil"/>
              <w:bottom w:val="nil"/>
              <w:right w:val="nil"/>
            </w:tcBorders>
          </w:tcPr>
          <w:p w14:paraId="6806F9A4"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6EA4082E" w14:textId="471E9419" w:rsidR="00C2199C" w:rsidRPr="003A5DA7" w:rsidRDefault="00C2199C" w:rsidP="00085C8C">
            <w:pPr>
              <w:spacing w:line="276" w:lineRule="auto"/>
              <w:contextualSpacing/>
              <w:jc w:val="center"/>
              <w:rPr>
                <w:rFonts w:cs="David"/>
                <w:b/>
                <w:bCs/>
                <w:color w:val="0070C0"/>
                <w:sz w:val="20"/>
                <w:szCs w:val="20"/>
              </w:rPr>
            </w:pPr>
            <w:r>
              <w:rPr>
                <w:rFonts w:cs="David" w:hint="cs"/>
                <w:b/>
                <w:bCs/>
                <w:color w:val="0070C0"/>
                <w:sz w:val="20"/>
                <w:szCs w:val="20"/>
                <w:rtl/>
              </w:rPr>
              <w:t>נ</w:t>
            </w:r>
            <w:r w:rsidRPr="003A5DA7">
              <w:rPr>
                <w:rFonts w:cs="David" w:hint="cs"/>
                <w:b/>
                <w:bCs/>
                <w:color w:val="0070C0"/>
                <w:sz w:val="20"/>
                <w:szCs w:val="20"/>
                <w:rtl/>
              </w:rPr>
              <w:t>טע בת מלכה</w:t>
            </w:r>
          </w:p>
        </w:tc>
        <w:tc>
          <w:tcPr>
            <w:tcW w:w="1701" w:type="dxa"/>
            <w:gridSpan w:val="4"/>
            <w:tcBorders>
              <w:top w:val="nil"/>
              <w:left w:val="nil"/>
              <w:bottom w:val="nil"/>
              <w:right w:val="nil"/>
            </w:tcBorders>
            <w:vAlign w:val="center"/>
          </w:tcPr>
          <w:p w14:paraId="25DAB35D" w14:textId="77777777" w:rsidR="00C2199C" w:rsidRPr="003A5DA7" w:rsidRDefault="00C2199C" w:rsidP="00085C8C">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2831" w:type="dxa"/>
            <w:gridSpan w:val="8"/>
            <w:tcBorders>
              <w:top w:val="nil"/>
              <w:left w:val="nil"/>
              <w:bottom w:val="nil"/>
              <w:right w:val="nil"/>
            </w:tcBorders>
            <w:vAlign w:val="center"/>
          </w:tcPr>
          <w:p w14:paraId="521FCAEE" w14:textId="77777777" w:rsidR="00C2199C" w:rsidRPr="003A5DA7" w:rsidRDefault="00C2199C" w:rsidP="00085C8C">
            <w:pPr>
              <w:spacing w:line="276" w:lineRule="auto"/>
              <w:contextualSpacing/>
              <w:jc w:val="center"/>
              <w:rPr>
                <w:rFonts w:cs="David"/>
                <w:b/>
                <w:bCs/>
                <w:color w:val="0070C0"/>
                <w:sz w:val="20"/>
                <w:szCs w:val="20"/>
                <w:rtl/>
              </w:rPr>
            </w:pPr>
            <w:r>
              <w:rPr>
                <w:rFonts w:cs="David" w:hint="cs"/>
                <w:b/>
                <w:bCs/>
                <w:color w:val="0070C0"/>
                <w:sz w:val="20"/>
                <w:szCs w:val="20"/>
                <w:rtl/>
              </w:rPr>
              <w:t>עמית ראובן בן ציפי צפורה</w:t>
            </w:r>
          </w:p>
        </w:tc>
        <w:tc>
          <w:tcPr>
            <w:tcW w:w="1564" w:type="dxa"/>
            <w:gridSpan w:val="2"/>
            <w:tcBorders>
              <w:top w:val="nil"/>
              <w:left w:val="nil"/>
              <w:bottom w:val="nil"/>
              <w:right w:val="single" w:sz="4" w:space="0" w:color="auto"/>
            </w:tcBorders>
            <w:vAlign w:val="center"/>
          </w:tcPr>
          <w:p w14:paraId="28B8E5A1" w14:textId="77777777" w:rsidR="00C2199C" w:rsidRPr="003A5DA7" w:rsidRDefault="00C2199C" w:rsidP="00085C8C">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C2199C" w:rsidRPr="003A5DA7" w14:paraId="15257EAC" w14:textId="77777777" w:rsidTr="00085C8C">
        <w:tc>
          <w:tcPr>
            <w:tcW w:w="1596" w:type="dxa"/>
            <w:gridSpan w:val="3"/>
            <w:tcBorders>
              <w:top w:val="nil"/>
              <w:left w:val="single" w:sz="4" w:space="0" w:color="auto"/>
              <w:bottom w:val="nil"/>
              <w:right w:val="nil"/>
            </w:tcBorders>
          </w:tcPr>
          <w:p w14:paraId="45017F51" w14:textId="77777777" w:rsidR="00C2199C" w:rsidRPr="003A5DA7" w:rsidRDefault="00C2199C" w:rsidP="00085C8C">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8" w:type="dxa"/>
            <w:gridSpan w:val="4"/>
            <w:tcBorders>
              <w:top w:val="nil"/>
              <w:left w:val="nil"/>
              <w:bottom w:val="nil"/>
              <w:right w:val="nil"/>
            </w:tcBorders>
            <w:vAlign w:val="center"/>
          </w:tcPr>
          <w:p w14:paraId="657E1147" w14:textId="1FEF4E5D"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3069BC3E" w14:textId="77777777" w:rsidR="00C2199C" w:rsidRPr="003A5DA7" w:rsidRDefault="00C2199C" w:rsidP="00085C8C">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6"/>
            <w:tcBorders>
              <w:top w:val="nil"/>
              <w:left w:val="nil"/>
              <w:bottom w:val="nil"/>
              <w:right w:val="nil"/>
            </w:tcBorders>
            <w:vAlign w:val="center"/>
          </w:tcPr>
          <w:p w14:paraId="63675C21" w14:textId="77777777" w:rsidR="00C2199C" w:rsidRPr="00FF6578" w:rsidRDefault="00C2199C" w:rsidP="00085C8C">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3"/>
            <w:tcBorders>
              <w:top w:val="nil"/>
              <w:left w:val="nil"/>
              <w:bottom w:val="nil"/>
              <w:right w:val="nil"/>
            </w:tcBorders>
            <w:vAlign w:val="center"/>
          </w:tcPr>
          <w:p w14:paraId="0F465461" w14:textId="77777777" w:rsidR="00C2199C" w:rsidRPr="00FF6578" w:rsidRDefault="00C2199C" w:rsidP="00085C8C">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39" w:type="dxa"/>
            <w:gridSpan w:val="3"/>
            <w:tcBorders>
              <w:top w:val="nil"/>
              <w:left w:val="nil"/>
              <w:bottom w:val="nil"/>
              <w:right w:val="single" w:sz="4" w:space="0" w:color="auto"/>
            </w:tcBorders>
            <w:vAlign w:val="center"/>
          </w:tcPr>
          <w:p w14:paraId="181FC06B"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C2199C" w:rsidRPr="003A5DA7" w14:paraId="2F151887" w14:textId="77777777" w:rsidTr="00085C8C">
        <w:tc>
          <w:tcPr>
            <w:tcW w:w="1585" w:type="dxa"/>
            <w:gridSpan w:val="2"/>
            <w:tcBorders>
              <w:top w:val="nil"/>
              <w:left w:val="single" w:sz="4" w:space="0" w:color="auto"/>
              <w:bottom w:val="nil"/>
              <w:right w:val="nil"/>
            </w:tcBorders>
          </w:tcPr>
          <w:p w14:paraId="5A794FFE" w14:textId="77777777" w:rsidR="00C2199C" w:rsidRPr="003A5DA7" w:rsidRDefault="00C2199C" w:rsidP="00085C8C">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1983" w:type="dxa"/>
            <w:gridSpan w:val="4"/>
            <w:tcBorders>
              <w:top w:val="nil"/>
              <w:left w:val="nil"/>
              <w:bottom w:val="nil"/>
              <w:right w:val="nil"/>
            </w:tcBorders>
            <w:vAlign w:val="center"/>
          </w:tcPr>
          <w:p w14:paraId="7AFEB65C"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421" w:type="dxa"/>
            <w:gridSpan w:val="3"/>
            <w:tcBorders>
              <w:top w:val="nil"/>
              <w:left w:val="nil"/>
              <w:bottom w:val="nil"/>
              <w:right w:val="nil"/>
            </w:tcBorders>
            <w:vAlign w:val="center"/>
          </w:tcPr>
          <w:p w14:paraId="18A6E7A0" w14:textId="77777777" w:rsidR="00C2199C" w:rsidRPr="003A5DA7" w:rsidRDefault="00C2199C" w:rsidP="00085C8C">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417" w:type="dxa"/>
            <w:gridSpan w:val="4"/>
            <w:tcBorders>
              <w:top w:val="nil"/>
              <w:left w:val="nil"/>
              <w:bottom w:val="nil"/>
              <w:right w:val="nil"/>
            </w:tcBorders>
            <w:vAlign w:val="center"/>
          </w:tcPr>
          <w:p w14:paraId="5610B6DF" w14:textId="77777777" w:rsidR="00C2199C" w:rsidRPr="003A5DA7" w:rsidRDefault="00C2199C" w:rsidP="00085C8C">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1418" w:type="dxa"/>
            <w:gridSpan w:val="5"/>
            <w:tcBorders>
              <w:top w:val="nil"/>
              <w:left w:val="nil"/>
              <w:bottom w:val="nil"/>
              <w:right w:val="nil"/>
            </w:tcBorders>
            <w:vAlign w:val="center"/>
          </w:tcPr>
          <w:p w14:paraId="5A44695E" w14:textId="77777777" w:rsidR="00C2199C" w:rsidRPr="003A5DA7" w:rsidRDefault="00C2199C" w:rsidP="00085C8C">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690" w:type="dxa"/>
            <w:gridSpan w:val="4"/>
            <w:tcBorders>
              <w:top w:val="nil"/>
              <w:left w:val="nil"/>
              <w:bottom w:val="nil"/>
              <w:right w:val="single" w:sz="4" w:space="0" w:color="auto"/>
            </w:tcBorders>
            <w:vAlign w:val="center"/>
          </w:tcPr>
          <w:p w14:paraId="0D8B2B9F"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r>
      <w:tr w:rsidR="00C2199C" w:rsidRPr="003A5DA7" w14:paraId="71D0F802" w14:textId="77777777" w:rsidTr="00085C8C">
        <w:tc>
          <w:tcPr>
            <w:tcW w:w="2300" w:type="dxa"/>
            <w:gridSpan w:val="4"/>
            <w:tcBorders>
              <w:top w:val="nil"/>
              <w:left w:val="single" w:sz="4" w:space="0" w:color="auto"/>
              <w:bottom w:val="single" w:sz="4" w:space="0" w:color="auto"/>
              <w:right w:val="nil"/>
            </w:tcBorders>
            <w:vAlign w:val="center"/>
          </w:tcPr>
          <w:p w14:paraId="575ABB7F" w14:textId="77777777" w:rsidR="00C2199C" w:rsidRPr="003A5DA7" w:rsidRDefault="00C2199C" w:rsidP="00085C8C">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9" w:type="dxa"/>
            <w:gridSpan w:val="5"/>
            <w:tcBorders>
              <w:top w:val="nil"/>
              <w:left w:val="nil"/>
              <w:bottom w:val="single" w:sz="4" w:space="0" w:color="auto"/>
              <w:right w:val="nil"/>
            </w:tcBorders>
            <w:vAlign w:val="center"/>
          </w:tcPr>
          <w:p w14:paraId="4ED7E9C7" w14:textId="417CE57A" w:rsidR="00C2199C" w:rsidRPr="003A5DA7" w:rsidRDefault="00C2199C" w:rsidP="00085C8C">
            <w:pPr>
              <w:spacing w:line="276" w:lineRule="auto"/>
              <w:ind w:firstLine="21"/>
              <w:contextualSpacing/>
              <w:jc w:val="center"/>
              <w:rPr>
                <w:rFonts w:ascii="Calibri" w:eastAsia="Calibri" w:hAnsi="Calibri" w:cs="David"/>
                <w:b/>
                <w:bCs/>
                <w:color w:val="0070C0"/>
                <w:sz w:val="20"/>
                <w:szCs w:val="20"/>
                <w:rtl/>
              </w:rPr>
            </w:pPr>
            <w:r>
              <w:rPr>
                <w:rFonts w:cs="David" w:hint="cs"/>
                <w:b/>
                <w:bCs/>
                <w:color w:val="0070C0"/>
                <w:sz w:val="20"/>
                <w:szCs w:val="20"/>
                <w:rtl/>
              </w:rPr>
              <w:t>ניר</w:t>
            </w:r>
            <w:r w:rsidRPr="003A5DA7">
              <w:rPr>
                <w:rFonts w:cs="David" w:hint="cs"/>
                <w:b/>
                <w:bCs/>
                <w:color w:val="0070C0"/>
                <w:sz w:val="20"/>
                <w:szCs w:val="20"/>
                <w:rtl/>
              </w:rPr>
              <w:t xml:space="preserve"> יצחק רפאל בן יפה</w:t>
            </w:r>
            <w:r>
              <w:rPr>
                <w:rFonts w:cs="David" w:hint="cs"/>
                <w:b/>
                <w:bCs/>
                <w:color w:val="0070C0"/>
                <w:sz w:val="20"/>
                <w:szCs w:val="20"/>
                <w:rtl/>
              </w:rPr>
              <w:t xml:space="preserve"> </w:t>
            </w:r>
            <w:r w:rsidRPr="003A5DA7">
              <w:rPr>
                <w:rFonts w:cs="David" w:hint="cs"/>
                <w:b/>
                <w:bCs/>
                <w:color w:val="0070C0"/>
                <w:sz w:val="20"/>
                <w:szCs w:val="20"/>
                <w:rtl/>
              </w:rPr>
              <w:t xml:space="preserve"> </w:t>
            </w:r>
          </w:p>
        </w:tc>
        <w:tc>
          <w:tcPr>
            <w:tcW w:w="2694" w:type="dxa"/>
            <w:gridSpan w:val="8"/>
            <w:tcBorders>
              <w:top w:val="nil"/>
              <w:left w:val="nil"/>
              <w:bottom w:val="single" w:sz="4" w:space="0" w:color="auto"/>
              <w:right w:val="nil"/>
            </w:tcBorders>
            <w:vAlign w:val="center"/>
          </w:tcPr>
          <w:p w14:paraId="4C304DAF" w14:textId="77777777" w:rsidR="00C2199C" w:rsidRPr="003A5DA7" w:rsidRDefault="00C2199C" w:rsidP="00085C8C">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74211CF8" w14:textId="77777777" w:rsidR="00C2199C" w:rsidRPr="00F5215F" w:rsidRDefault="00C2199C" w:rsidP="00085C8C">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47" w:type="dxa"/>
            <w:tcBorders>
              <w:top w:val="nil"/>
              <w:left w:val="nil"/>
              <w:bottom w:val="single" w:sz="4" w:space="0" w:color="auto"/>
              <w:right w:val="single" w:sz="4" w:space="0" w:color="auto"/>
            </w:tcBorders>
            <w:vAlign w:val="center"/>
          </w:tcPr>
          <w:p w14:paraId="3561539A" w14:textId="77777777" w:rsidR="00C2199C" w:rsidRPr="007025EE" w:rsidRDefault="00C2199C" w:rsidP="00085C8C">
            <w:pPr>
              <w:spacing w:line="276" w:lineRule="auto"/>
              <w:contextualSpacing/>
              <w:rPr>
                <w:rFonts w:cs="David"/>
                <w:b/>
                <w:bCs/>
                <w:color w:val="0070C0"/>
                <w:sz w:val="20"/>
                <w:szCs w:val="20"/>
                <w:rtl/>
              </w:rPr>
            </w:pPr>
          </w:p>
        </w:tc>
      </w:tr>
    </w:tbl>
    <w:p w14:paraId="6EFE778B" w14:textId="6E58B31B" w:rsidR="000E1F4A" w:rsidRDefault="000E1F4A" w:rsidP="00FD6695">
      <w:pPr>
        <w:spacing w:line="276" w:lineRule="auto"/>
        <w:rPr>
          <w:rFonts w:cs="David"/>
        </w:rPr>
      </w:pPr>
      <w:r w:rsidRPr="003B597C">
        <w:rPr>
          <w:rStyle w:val="Hyperlink"/>
          <w:rFonts w:cs="David"/>
          <w:b/>
          <w:bCs/>
          <w:noProof/>
          <w:color w:val="0070C0"/>
          <w:sz w:val="23"/>
          <w:szCs w:val="23"/>
        </w:rPr>
        <w:drawing>
          <wp:anchor distT="0" distB="0" distL="114300" distR="114300" simplePos="0" relativeHeight="252018688" behindDoc="0" locked="0" layoutInCell="1" allowOverlap="1" wp14:anchorId="707BE0C7" wp14:editId="161D841B">
            <wp:simplePos x="0" y="0"/>
            <wp:positionH relativeFrom="column">
              <wp:posOffset>436292</wp:posOffset>
            </wp:positionH>
            <wp:positionV relativeFrom="paragraph">
              <wp:posOffset>1055789</wp:posOffset>
            </wp:positionV>
            <wp:extent cx="6165215" cy="1097280"/>
            <wp:effectExtent l="0" t="0" r="6985" b="7620"/>
            <wp:wrapNone/>
            <wp:docPr id="19"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165215" cy="1097280"/>
                    </a:xfrm>
                    <a:prstGeom prst="rect">
                      <a:avLst/>
                    </a:prstGeom>
                  </pic:spPr>
                </pic:pic>
              </a:graphicData>
            </a:graphic>
            <wp14:sizeRelH relativeFrom="page">
              <wp14:pctWidth>0</wp14:pctWidth>
            </wp14:sizeRelH>
            <wp14:sizeRelV relativeFrom="page">
              <wp14:pctHeight>0</wp14:pctHeight>
            </wp14:sizeRelV>
          </wp:anchor>
        </w:drawing>
      </w:r>
    </w:p>
    <w:p w14:paraId="45401DDA" w14:textId="14DF7CCB" w:rsidR="000E1F4A" w:rsidRDefault="000E1F4A" w:rsidP="00FD6695">
      <w:pPr>
        <w:spacing w:line="276" w:lineRule="auto"/>
        <w:rPr>
          <w:rFonts w:cs="David"/>
        </w:rPr>
      </w:pPr>
    </w:p>
    <w:p w14:paraId="123AF649" w14:textId="3FC35007" w:rsidR="000E1F4A" w:rsidRDefault="000E1F4A" w:rsidP="00FD6695">
      <w:pPr>
        <w:spacing w:line="276" w:lineRule="auto"/>
        <w:rPr>
          <w:rFonts w:cs="David"/>
        </w:rPr>
      </w:pPr>
    </w:p>
    <w:p w14:paraId="553DD852" w14:textId="71341A95" w:rsidR="000E1F4A" w:rsidRDefault="000E1F4A" w:rsidP="00FD6695">
      <w:pPr>
        <w:spacing w:line="276" w:lineRule="auto"/>
        <w:rPr>
          <w:rFonts w:cs="David"/>
        </w:rPr>
      </w:pPr>
    </w:p>
    <w:p w14:paraId="6B3D4FA4" w14:textId="7469537D" w:rsidR="000E1F4A" w:rsidRDefault="000E1F4A" w:rsidP="00FD6695">
      <w:pPr>
        <w:spacing w:line="276" w:lineRule="auto"/>
        <w:rPr>
          <w:rFonts w:cs="David"/>
        </w:rPr>
      </w:pPr>
    </w:p>
    <w:p w14:paraId="4AD249F2" w14:textId="63A6D231" w:rsidR="000E1F4A" w:rsidRDefault="000E1F4A" w:rsidP="00FD6695">
      <w:pPr>
        <w:spacing w:line="276" w:lineRule="auto"/>
        <w:rPr>
          <w:rFonts w:cs="David"/>
        </w:rPr>
      </w:pPr>
      <w:r>
        <w:rPr>
          <w:rFonts w:cs="David"/>
        </w:rPr>
        <w:br w:type="page"/>
      </w:r>
    </w:p>
    <w:p w14:paraId="677B7356" w14:textId="6EEF5339" w:rsidR="00C37984" w:rsidRDefault="00C37984" w:rsidP="000E1F4A">
      <w:pPr>
        <w:spacing w:line="276" w:lineRule="auto"/>
        <w:rPr>
          <w:rFonts w:cs="David"/>
          <w:rtl/>
        </w:rPr>
      </w:pPr>
      <w:r w:rsidRPr="00C37984">
        <w:rPr>
          <w:rFonts w:cs="David"/>
          <w:noProof/>
        </w:rPr>
        <w:lastRenderedPageBreak/>
        <w:drawing>
          <wp:anchor distT="0" distB="0" distL="114300" distR="114300" simplePos="0" relativeHeight="251661312" behindDoc="1" locked="0" layoutInCell="1" allowOverlap="1" wp14:anchorId="3DC5E2B4" wp14:editId="66A0C505">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0611E606" w:rsidR="00E1189B" w:rsidRDefault="00E1189B" w:rsidP="00E1189B">
      <w:pPr>
        <w:contextualSpacing/>
        <w:rPr>
          <w:rFonts w:cs="David" w:hint="cs"/>
          <w:rtl/>
        </w:rPr>
      </w:pPr>
    </w:p>
    <w:p w14:paraId="0D87034F" w14:textId="77777777" w:rsidR="00C37984" w:rsidRDefault="00C37984" w:rsidP="00C37984">
      <w:pPr>
        <w:autoSpaceDE w:val="0"/>
        <w:autoSpaceDN w:val="0"/>
        <w:contextualSpacing/>
        <w:rPr>
          <w:rFonts w:cs="David"/>
          <w:rtl/>
        </w:rPr>
      </w:pPr>
    </w:p>
    <w:p w14:paraId="156007B6" w14:textId="63A7048F" w:rsidR="007F6F52" w:rsidRPr="007F6F52" w:rsidRDefault="007F6F52" w:rsidP="007F6F52">
      <w:pPr>
        <w:keepNext/>
        <w:contextualSpacing/>
        <w:outlineLvl w:val="0"/>
        <w:rPr>
          <w:rFonts w:ascii="David" w:hAnsi="David" w:cs="David"/>
          <w:rtl/>
        </w:rPr>
      </w:pPr>
      <w:r w:rsidRPr="007F6F52">
        <w:rPr>
          <w:rFonts w:ascii="David" w:hAnsi="David" w:cs="David" w:hint="cs"/>
          <w:rtl/>
        </w:rPr>
        <w:t>(מתוך ח"</w:t>
      </w:r>
      <w:r w:rsidR="00107074">
        <w:rPr>
          <w:rFonts w:ascii="David" w:hAnsi="David" w:cs="David" w:hint="cs"/>
          <w:rtl/>
        </w:rPr>
        <w:t>י</w:t>
      </w:r>
      <w:r w:rsidRPr="007F6F52">
        <w:rPr>
          <w:rFonts w:ascii="David" w:hAnsi="David" w:cs="David" w:hint="cs"/>
          <w:rtl/>
        </w:rPr>
        <w:t>)</w:t>
      </w:r>
    </w:p>
    <w:p w14:paraId="2014857F" w14:textId="77777777" w:rsidR="007F6F52" w:rsidRPr="007F6F52" w:rsidRDefault="007F6F52" w:rsidP="007F6F52">
      <w:pPr>
        <w:contextualSpacing/>
        <w:rPr>
          <w:rFonts w:cs="David"/>
          <w:rtl/>
        </w:rPr>
      </w:pPr>
    </w:p>
    <w:p w14:paraId="2D886F54" w14:textId="5F578AF8" w:rsidR="00107074" w:rsidRPr="00107074" w:rsidRDefault="00107074" w:rsidP="00107074">
      <w:pPr>
        <w:contextualSpacing/>
        <w:rPr>
          <w:rFonts w:ascii="David" w:hAnsi="David" w:cs="David"/>
          <w:b/>
          <w:bCs/>
          <w:sz w:val="32"/>
          <w:szCs w:val="32"/>
        </w:rPr>
      </w:pPr>
      <w:r w:rsidRPr="00107074">
        <w:rPr>
          <w:rFonts w:ascii="David" w:hAnsi="David" w:cs="David" w:hint="eastAsia"/>
          <w:b/>
          <w:bCs/>
          <w:sz w:val="32"/>
          <w:szCs w:val="32"/>
          <w:rtl/>
        </w:rPr>
        <w:t>פלורידה</w:t>
      </w:r>
      <w:r w:rsidRPr="00107074">
        <w:rPr>
          <w:rFonts w:ascii="David" w:hAnsi="David" w:cs="David"/>
          <w:b/>
          <w:bCs/>
          <w:sz w:val="32"/>
          <w:szCs w:val="32"/>
          <w:rtl/>
        </w:rPr>
        <w:t xml:space="preserve">, </w:t>
      </w:r>
      <w:r w:rsidRPr="00107074">
        <w:rPr>
          <w:rFonts w:ascii="David" w:hAnsi="David" w:cs="David" w:hint="eastAsia"/>
          <w:b/>
          <w:bCs/>
          <w:sz w:val="32"/>
          <w:szCs w:val="32"/>
          <w:rtl/>
        </w:rPr>
        <w:t>ארה</w:t>
      </w:r>
      <w:r w:rsidRPr="00107074">
        <w:rPr>
          <w:rFonts w:ascii="David" w:hAnsi="David" w:cs="David"/>
          <w:b/>
          <w:bCs/>
          <w:sz w:val="32"/>
          <w:szCs w:val="32"/>
          <w:rtl/>
        </w:rPr>
        <w:t>"ב</w:t>
      </w:r>
      <w:r w:rsidRPr="00107074">
        <w:rPr>
          <w:rFonts w:ascii="David" w:hAnsi="David" w:cs="David"/>
          <w:b/>
          <w:bCs/>
          <w:sz w:val="32"/>
          <w:szCs w:val="32"/>
          <w:rtl/>
        </w:rPr>
        <w:tab/>
      </w:r>
      <w:r w:rsidRPr="00107074">
        <w:rPr>
          <w:rFonts w:ascii="David" w:hAnsi="David" w:cs="David"/>
          <w:b/>
          <w:bCs/>
          <w:sz w:val="32"/>
          <w:szCs w:val="32"/>
          <w:rtl/>
        </w:rPr>
        <w:tab/>
      </w:r>
      <w:r w:rsidRPr="00107074">
        <w:rPr>
          <w:rFonts w:ascii="David" w:hAnsi="David" w:cs="David" w:hint="cs"/>
          <w:b/>
          <w:bCs/>
          <w:sz w:val="32"/>
          <w:szCs w:val="32"/>
          <w:rtl/>
        </w:rPr>
        <w:tab/>
      </w:r>
      <w:r w:rsidRPr="00107074">
        <w:rPr>
          <w:rFonts w:ascii="David" w:hAnsi="David" w:cs="David" w:hint="cs"/>
          <w:b/>
          <w:bCs/>
          <w:sz w:val="32"/>
          <w:szCs w:val="32"/>
          <w:rtl/>
        </w:rPr>
        <w:tab/>
      </w:r>
      <w:r w:rsidRPr="00107074">
        <w:rPr>
          <w:rFonts w:ascii="David" w:hAnsi="David" w:cs="David" w:hint="cs"/>
          <w:b/>
          <w:bCs/>
          <w:sz w:val="32"/>
          <w:szCs w:val="32"/>
          <w:rtl/>
        </w:rPr>
        <w:tab/>
        <w:t xml:space="preserve">       </w:t>
      </w:r>
      <w:r w:rsidRPr="00107074">
        <w:rPr>
          <w:rFonts w:ascii="David" w:hAnsi="David" w:cs="David"/>
          <w:b/>
          <w:bCs/>
          <w:sz w:val="32"/>
          <w:szCs w:val="32"/>
        </w:rPr>
        <w:t xml:space="preserve">Florida, USA  </w:t>
      </w:r>
      <w:r>
        <w:rPr>
          <w:rFonts w:ascii="David" w:hAnsi="David" w:cs="David"/>
          <w:b/>
          <w:bCs/>
          <w:sz w:val="32"/>
          <w:szCs w:val="32"/>
        </w:rPr>
        <w:t xml:space="preserve">                                            </w:t>
      </w:r>
    </w:p>
    <w:p w14:paraId="3C89D6E8" w14:textId="479D53A6" w:rsidR="007F6F52" w:rsidRPr="007F6F52" w:rsidRDefault="007F6F52" w:rsidP="007F6F52">
      <w:pPr>
        <w:contextualSpacing/>
        <w:rPr>
          <w:rFonts w:ascii="David" w:hAnsi="David" w:cs="David"/>
          <w:rtl/>
        </w:rPr>
      </w:pPr>
      <w:r w:rsidRPr="007F6F52">
        <w:rPr>
          <w:rFonts w:ascii="David" w:hAnsi="David" w:cs="David"/>
          <w:rtl/>
        </w:rPr>
        <w:t xml:space="preserve">שבט </w:t>
      </w:r>
      <w:r w:rsidR="00107074">
        <w:rPr>
          <w:rFonts w:ascii="David" w:hAnsi="David" w:cs="David" w:hint="cs"/>
          <w:rtl/>
        </w:rPr>
        <w:t>תשע"ז</w:t>
      </w:r>
    </w:p>
    <w:p w14:paraId="0F065501" w14:textId="77777777" w:rsidR="007F6F52" w:rsidRPr="007F6F52" w:rsidRDefault="007F6F52" w:rsidP="007F6F52">
      <w:pPr>
        <w:contextualSpacing/>
        <w:rPr>
          <w:rFonts w:ascii="David" w:hAnsi="David" w:cs="David"/>
          <w:rtl/>
        </w:rPr>
      </w:pPr>
    </w:p>
    <w:p w14:paraId="38CA4736" w14:textId="77777777" w:rsidR="00107074" w:rsidRPr="00107074" w:rsidRDefault="00107074" w:rsidP="00107074">
      <w:pPr>
        <w:contextualSpacing/>
        <w:rPr>
          <w:rFonts w:ascii="David" w:hAnsi="David" w:cs="David"/>
          <w:b/>
          <w:bCs/>
          <w:color w:val="0070C0"/>
          <w:kern w:val="2"/>
          <w:sz w:val="30"/>
          <w:szCs w:val="30"/>
          <w:rtl/>
          <w14:ligatures w14:val="standardContextual"/>
        </w:rPr>
      </w:pPr>
      <w:r w:rsidRPr="00107074">
        <w:rPr>
          <w:rFonts w:ascii="David" w:hAnsi="David" w:cs="David" w:hint="eastAsia"/>
          <w:b/>
          <w:bCs/>
          <w:color w:val="0070C0"/>
          <w:kern w:val="2"/>
          <w:sz w:val="30"/>
          <w:szCs w:val="30"/>
          <w:rtl/>
          <w14:ligatures w14:val="standardContextual"/>
        </w:rPr>
        <w:t>גיור</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אישה</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החיה</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כגויה</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עם</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כהן</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ומתעתדת</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להמשיך</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לחיות</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עימו</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לאחר</w:t>
      </w:r>
      <w:r w:rsidRPr="00107074">
        <w:rPr>
          <w:rFonts w:ascii="David" w:hAnsi="David" w:cs="David"/>
          <w:b/>
          <w:bCs/>
          <w:color w:val="0070C0"/>
          <w:kern w:val="2"/>
          <w:sz w:val="30"/>
          <w:szCs w:val="30"/>
          <w:rtl/>
          <w14:ligatures w14:val="standardContextual"/>
        </w:rPr>
        <w:t xml:space="preserve"> </w:t>
      </w:r>
      <w:r w:rsidRPr="00107074">
        <w:rPr>
          <w:rFonts w:ascii="David" w:hAnsi="David" w:cs="David" w:hint="eastAsia"/>
          <w:b/>
          <w:bCs/>
          <w:color w:val="0070C0"/>
          <w:kern w:val="2"/>
          <w:sz w:val="30"/>
          <w:szCs w:val="30"/>
          <w:rtl/>
          <w14:ligatures w14:val="standardContextual"/>
        </w:rPr>
        <w:t>הגיור</w:t>
      </w:r>
    </w:p>
    <w:p w14:paraId="3DD5789A" w14:textId="77777777" w:rsidR="007F6F52" w:rsidRPr="008811EE" w:rsidRDefault="007F6F52" w:rsidP="007F6F52">
      <w:pPr>
        <w:contextualSpacing/>
        <w:rPr>
          <w:rFonts w:ascii="David" w:hAnsi="David" w:cs="David"/>
          <w:b/>
          <w:bCs/>
          <w:sz w:val="10"/>
          <w:szCs w:val="10"/>
          <w:rtl/>
        </w:rPr>
      </w:pPr>
    </w:p>
    <w:p w14:paraId="537E3071" w14:textId="77777777" w:rsidR="00107074" w:rsidRPr="002A101C" w:rsidRDefault="00107074" w:rsidP="002A101C">
      <w:pPr>
        <w:pStyle w:val="affffff9"/>
        <w:bidi/>
        <w:jc w:val="left"/>
        <w:rPr>
          <w:rFonts w:ascii="David" w:hAnsi="David"/>
          <w:sz w:val="25"/>
          <w:szCs w:val="25"/>
          <w:rtl/>
          <w:lang w:eastAsia="he-IL"/>
        </w:rPr>
      </w:pPr>
      <w:r w:rsidRPr="002A101C">
        <w:rPr>
          <w:rFonts w:ascii="David" w:hAnsi="David"/>
          <w:sz w:val="25"/>
          <w:szCs w:val="25"/>
          <w:rtl/>
          <w:lang w:eastAsia="he-IL"/>
        </w:rPr>
        <w:t>שאלה:</w:t>
      </w:r>
    </w:p>
    <w:p w14:paraId="2B15518B" w14:textId="77777777" w:rsidR="00107074" w:rsidRPr="00391632" w:rsidRDefault="00107074" w:rsidP="002A101C">
      <w:pPr>
        <w:pStyle w:val="-0"/>
        <w:bidi/>
        <w:jc w:val="left"/>
        <w:rPr>
          <w:rFonts w:ascii="David" w:hAnsi="David"/>
          <w:szCs w:val="24"/>
        </w:rPr>
      </w:pPr>
      <w:r w:rsidRPr="00391632">
        <w:rPr>
          <w:rFonts w:ascii="David" w:hAnsi="David"/>
          <w:szCs w:val="24"/>
          <w:rtl/>
        </w:rPr>
        <w:t>הובא בפנינו, בית הדין של פלורידה, המקרה הבא:</w:t>
      </w:r>
    </w:p>
    <w:p w14:paraId="6BE609F3" w14:textId="77777777" w:rsidR="00107074" w:rsidRPr="00391632" w:rsidRDefault="00107074" w:rsidP="002A101C">
      <w:pPr>
        <w:pStyle w:val="-0"/>
        <w:bidi/>
        <w:jc w:val="left"/>
        <w:rPr>
          <w:rFonts w:ascii="David" w:hAnsi="David"/>
          <w:szCs w:val="24"/>
        </w:rPr>
      </w:pPr>
      <w:r w:rsidRPr="00391632">
        <w:rPr>
          <w:rFonts w:ascii="David" w:hAnsi="David"/>
          <w:szCs w:val="24"/>
          <w:rtl/>
        </w:rPr>
        <w:t>אישה שאינה יהודייה התקרבה ליהדות, הסתובבה בחברת יהודים ולבסוף הכירה בחור יהודי. הם התאהבו והתחתנו בנישואין אזרחיים.</w:t>
      </w:r>
    </w:p>
    <w:p w14:paraId="7318A1EA" w14:textId="77777777" w:rsidR="00107074" w:rsidRPr="00391632" w:rsidRDefault="00107074" w:rsidP="002A101C">
      <w:pPr>
        <w:pStyle w:val="-0"/>
        <w:bidi/>
        <w:jc w:val="left"/>
        <w:rPr>
          <w:rFonts w:ascii="David" w:hAnsi="David"/>
          <w:szCs w:val="24"/>
          <w:rtl/>
        </w:rPr>
      </w:pPr>
      <w:r w:rsidRPr="00391632">
        <w:rPr>
          <w:rFonts w:ascii="David" w:hAnsi="David"/>
          <w:szCs w:val="24"/>
          <w:rtl/>
        </w:rPr>
        <w:t>כשהתחילו לברר על אפשרות נישואין כדת משה וישראל, התברר להם שהבחור כהן, ואף אם היא תתגייר יהיה אסור להם להתחתן כדת משה וישראל.</w:t>
      </w:r>
    </w:p>
    <w:p w14:paraId="13088AEB" w14:textId="77777777" w:rsidR="00107074" w:rsidRPr="00391632" w:rsidRDefault="00107074" w:rsidP="002A101C">
      <w:pPr>
        <w:pStyle w:val="-0"/>
        <w:bidi/>
        <w:jc w:val="left"/>
        <w:rPr>
          <w:rFonts w:ascii="David" w:hAnsi="David"/>
          <w:szCs w:val="24"/>
          <w:rtl/>
        </w:rPr>
      </w:pPr>
      <w:r w:rsidRPr="00391632">
        <w:rPr>
          <w:rFonts w:ascii="David" w:hAnsi="David"/>
          <w:szCs w:val="24"/>
          <w:rtl/>
        </w:rPr>
        <w:t xml:space="preserve">כפי שעושים הרבה בגלות לצערנו, הזוג פנה </w:t>
      </w:r>
      <w:proofErr w:type="spellStart"/>
      <w:r w:rsidRPr="00391632">
        <w:rPr>
          <w:rFonts w:ascii="David" w:hAnsi="David"/>
          <w:szCs w:val="24"/>
          <w:rtl/>
        </w:rPr>
        <w:t>ל'ראביי</w:t>
      </w:r>
      <w:proofErr w:type="spellEnd"/>
      <w:r w:rsidRPr="00391632">
        <w:rPr>
          <w:rFonts w:ascii="David" w:hAnsi="David"/>
          <w:szCs w:val="24"/>
          <w:rtl/>
        </w:rPr>
        <w:t xml:space="preserve">' הקונסרבטיבי והוא 'גייר' אותה במהירות וחיתן אותם. ברבות השנים </w:t>
      </w:r>
      <w:proofErr w:type="spellStart"/>
      <w:r w:rsidRPr="00391632">
        <w:rPr>
          <w:rFonts w:ascii="David" w:hAnsi="David"/>
          <w:szCs w:val="24"/>
          <w:rtl/>
        </w:rPr>
        <w:t>הותמלאה</w:t>
      </w:r>
      <w:proofErr w:type="spellEnd"/>
      <w:r w:rsidRPr="00391632">
        <w:rPr>
          <w:rFonts w:ascii="David" w:hAnsi="David"/>
          <w:szCs w:val="24"/>
          <w:rtl/>
        </w:rPr>
        <w:t xml:space="preserve"> האישה הרהורי חרטה, היא מרגישה שעשתה את הדבר הלא נכון וכעת היא רוצה להתגייר, היא וילדיה, כדת משה וישראל.</w:t>
      </w:r>
    </w:p>
    <w:p w14:paraId="49C6050E" w14:textId="77777777" w:rsidR="00107074" w:rsidRPr="00391632" w:rsidRDefault="00107074" w:rsidP="002A101C">
      <w:pPr>
        <w:pStyle w:val="-0"/>
        <w:bidi/>
        <w:jc w:val="left"/>
        <w:rPr>
          <w:rFonts w:ascii="David" w:hAnsi="David"/>
          <w:szCs w:val="24"/>
          <w:rtl/>
        </w:rPr>
      </w:pPr>
      <w:r w:rsidRPr="00391632">
        <w:rPr>
          <w:rFonts w:ascii="David" w:hAnsi="David"/>
          <w:szCs w:val="24"/>
          <w:rtl/>
        </w:rPr>
        <w:t>וזה פירוט מה שעשיתי עד כה:</w:t>
      </w:r>
    </w:p>
    <w:p w14:paraId="4CBCBFF4" w14:textId="77777777" w:rsidR="00107074" w:rsidRPr="00391632" w:rsidRDefault="00107074" w:rsidP="002A101C">
      <w:pPr>
        <w:pStyle w:val="-0"/>
        <w:numPr>
          <w:ilvl w:val="0"/>
          <w:numId w:val="28"/>
        </w:numPr>
        <w:bidi/>
        <w:ind w:left="368"/>
        <w:jc w:val="left"/>
        <w:rPr>
          <w:rFonts w:ascii="David" w:hAnsi="David"/>
          <w:szCs w:val="24"/>
          <w:rtl/>
        </w:rPr>
      </w:pPr>
      <w:r w:rsidRPr="00391632">
        <w:rPr>
          <w:rFonts w:ascii="David" w:hAnsi="David"/>
          <w:szCs w:val="24"/>
          <w:rtl/>
        </w:rPr>
        <w:t>בדקתי באמצעות חוקר פרטי אפשרות שהאימא של הבעל קיימה יחסים אינטימיים עם אינו יהודי ואז הבן יהיה חלל שלא יהיה אסור בגיורת, בדקתי גם את הסבתא של הבעל ואת אם הסבתא של הבעל, עד כה התוצאות שליליות.</w:t>
      </w:r>
    </w:p>
    <w:p w14:paraId="001CD3A1" w14:textId="77777777" w:rsidR="00107074" w:rsidRPr="00391632" w:rsidRDefault="00107074" w:rsidP="002A101C">
      <w:pPr>
        <w:pStyle w:val="-0"/>
        <w:numPr>
          <w:ilvl w:val="0"/>
          <w:numId w:val="29"/>
        </w:numPr>
        <w:bidi/>
        <w:ind w:left="368"/>
        <w:jc w:val="left"/>
        <w:rPr>
          <w:rFonts w:ascii="David" w:hAnsi="David"/>
          <w:szCs w:val="24"/>
          <w:rtl/>
        </w:rPr>
      </w:pPr>
      <w:r w:rsidRPr="00391632">
        <w:rPr>
          <w:rFonts w:ascii="David" w:hAnsi="David"/>
          <w:szCs w:val="24"/>
          <w:rtl/>
        </w:rPr>
        <w:t>בדקתי גם את האפשרות שהבעל אינו כהן, כי רבים שאינם שומרי תורה ומצוות אומרים שהם כהנים ואין להאמין להם (ראו שו״ת אגרות משה); עדיין אין לי תוצאות מהחוקר הפרטי.</w:t>
      </w:r>
    </w:p>
    <w:p w14:paraId="6CEF6EC0" w14:textId="77777777" w:rsidR="00107074" w:rsidRPr="00391632" w:rsidRDefault="00107074" w:rsidP="002A101C">
      <w:pPr>
        <w:pStyle w:val="-0"/>
        <w:numPr>
          <w:ilvl w:val="0"/>
          <w:numId w:val="29"/>
        </w:numPr>
        <w:bidi/>
        <w:ind w:left="368"/>
        <w:jc w:val="left"/>
        <w:rPr>
          <w:rFonts w:ascii="David" w:hAnsi="David"/>
          <w:szCs w:val="24"/>
          <w:rtl/>
        </w:rPr>
      </w:pPr>
      <w:r w:rsidRPr="00391632">
        <w:rPr>
          <w:rFonts w:ascii="David" w:hAnsi="David"/>
          <w:szCs w:val="24"/>
          <w:rtl/>
        </w:rPr>
        <w:t>אני בודק כעת אפשרות שלישית, לגייר את האישה וילדה האחד (כעת היא בהיריון), ולא לחתן אותה כדת משה וישראל עם בעלה הנוכחי שאיתו היא נשואה בנישואין אזרחיים.</w:t>
      </w:r>
    </w:p>
    <w:p w14:paraId="38789C7C" w14:textId="77777777" w:rsidR="00107074" w:rsidRPr="00391632" w:rsidRDefault="00107074" w:rsidP="002A101C">
      <w:pPr>
        <w:pStyle w:val="-0"/>
        <w:bidi/>
        <w:jc w:val="left"/>
        <w:rPr>
          <w:rFonts w:ascii="David" w:hAnsi="David"/>
          <w:szCs w:val="24"/>
          <w:rtl/>
        </w:rPr>
      </w:pPr>
      <w:r w:rsidRPr="00391632">
        <w:rPr>
          <w:rFonts w:ascii="David" w:hAnsi="David"/>
          <w:szCs w:val="24"/>
          <w:rtl/>
        </w:rPr>
        <w:t xml:space="preserve">אני מסתמך על האמור </w:t>
      </w:r>
      <w:proofErr w:type="spellStart"/>
      <w:r w:rsidRPr="00391632">
        <w:rPr>
          <w:rFonts w:ascii="David" w:hAnsi="David"/>
          <w:szCs w:val="24"/>
          <w:rtl/>
        </w:rPr>
        <w:t>בשו״ת</w:t>
      </w:r>
      <w:proofErr w:type="spellEnd"/>
      <w:r w:rsidRPr="00391632">
        <w:rPr>
          <w:rFonts w:ascii="David" w:hAnsi="David"/>
          <w:szCs w:val="24"/>
          <w:rtl/>
        </w:rPr>
        <w:t xml:space="preserve"> אגרות משה (חלק א סימן ה) שדן במצב דומה (</w:t>
      </w:r>
      <w:proofErr w:type="spellStart"/>
      <w:r w:rsidRPr="00391632">
        <w:rPr>
          <w:rFonts w:ascii="David" w:hAnsi="David"/>
          <w:szCs w:val="24"/>
          <w:rtl/>
        </w:rPr>
        <w:t>בנדונו</w:t>
      </w:r>
      <w:proofErr w:type="spellEnd"/>
      <w:r w:rsidRPr="00391632">
        <w:rPr>
          <w:rFonts w:ascii="David" w:hAnsi="David"/>
          <w:szCs w:val="24"/>
          <w:rtl/>
        </w:rPr>
        <w:t xml:space="preserve"> לא מדובר על נישואי גיורת לכהן, אלא על נישואי בתם של גוי ויהודייה לכהן), אסר חיתון כדת משה וישראל וקבע כי אם האישה תמשיך לחיות עם הכהן – מוטב שיהיה זה ללא חופה וקידושין כדת משה וישראל, ואם אכן כך יהיה, לא יתווסף עליהם איסור (מצד איסור גיורת לכהן) אלא רק האיסור לחיות ללא קידושין (שקיים כמובן בכל אופן).</w:t>
      </w:r>
    </w:p>
    <w:p w14:paraId="06181618" w14:textId="77777777" w:rsidR="00107074" w:rsidRPr="00391632" w:rsidRDefault="00107074" w:rsidP="002A101C">
      <w:pPr>
        <w:pStyle w:val="-0"/>
        <w:bidi/>
        <w:jc w:val="left"/>
        <w:rPr>
          <w:rFonts w:ascii="David" w:hAnsi="David"/>
          <w:szCs w:val="24"/>
          <w:rtl/>
        </w:rPr>
      </w:pPr>
      <w:r w:rsidRPr="00391632">
        <w:rPr>
          <w:rFonts w:ascii="David" w:hAnsi="David"/>
          <w:szCs w:val="24"/>
          <w:rtl/>
        </w:rPr>
        <w:t>במקרה זה האישה מסכימה לכך, כי כל רצונה הוא שהיא וילדיה יהיו יהודים על פי ההלכה</w:t>
      </w:r>
      <w:r w:rsidRPr="00391632">
        <w:rPr>
          <w:rFonts w:ascii="David" w:hAnsi="David"/>
          <w:szCs w:val="24"/>
        </w:rPr>
        <w:t>.</w:t>
      </w:r>
    </w:p>
    <w:p w14:paraId="65145069" w14:textId="77777777" w:rsidR="00107074" w:rsidRPr="00391632" w:rsidRDefault="00107074" w:rsidP="002A101C">
      <w:pPr>
        <w:pStyle w:val="-0"/>
        <w:bidi/>
        <w:jc w:val="left"/>
        <w:rPr>
          <w:rFonts w:ascii="David" w:hAnsi="David"/>
          <w:szCs w:val="24"/>
          <w:rtl/>
        </w:rPr>
      </w:pPr>
      <w:r w:rsidRPr="00391632">
        <w:rPr>
          <w:rFonts w:ascii="David" w:hAnsi="David"/>
          <w:szCs w:val="24"/>
          <w:rtl/>
        </w:rPr>
        <w:t>מה עלינו לעשות בנדון דידן?</w:t>
      </w:r>
    </w:p>
    <w:p w14:paraId="575DC71A" w14:textId="77777777" w:rsidR="00107074" w:rsidRPr="00205B55" w:rsidRDefault="00107074" w:rsidP="002A101C">
      <w:pPr>
        <w:pStyle w:val="affffff9"/>
        <w:bidi/>
        <w:jc w:val="left"/>
        <w:rPr>
          <w:rFonts w:ascii="David" w:hAnsi="David"/>
          <w:sz w:val="10"/>
          <w:szCs w:val="10"/>
          <w:rtl/>
        </w:rPr>
      </w:pPr>
    </w:p>
    <w:p w14:paraId="43AC0D0F" w14:textId="77777777" w:rsidR="00107074" w:rsidRPr="002A101C" w:rsidRDefault="00107074" w:rsidP="002A101C">
      <w:pPr>
        <w:pStyle w:val="affffff9"/>
        <w:bidi/>
        <w:jc w:val="left"/>
        <w:rPr>
          <w:rFonts w:ascii="David" w:hAnsi="David"/>
          <w:sz w:val="25"/>
          <w:szCs w:val="25"/>
          <w:rtl/>
        </w:rPr>
      </w:pPr>
      <w:r w:rsidRPr="002A101C">
        <w:rPr>
          <w:rFonts w:ascii="David" w:hAnsi="David"/>
          <w:sz w:val="25"/>
          <w:szCs w:val="25"/>
          <w:rtl/>
        </w:rPr>
        <w:t>תשובה:</w:t>
      </w:r>
    </w:p>
    <w:p w14:paraId="3A7DBF68" w14:textId="501D4012" w:rsidR="00107074" w:rsidRPr="00391632" w:rsidRDefault="00107074" w:rsidP="002A101C">
      <w:pPr>
        <w:pStyle w:val="-0"/>
        <w:numPr>
          <w:ilvl w:val="0"/>
          <w:numId w:val="31"/>
        </w:numPr>
        <w:tabs>
          <w:tab w:val="left" w:pos="282"/>
        </w:tabs>
        <w:bidi/>
        <w:ind w:left="282" w:hanging="284"/>
        <w:jc w:val="left"/>
        <w:rPr>
          <w:rFonts w:ascii="David" w:hAnsi="David"/>
          <w:szCs w:val="24"/>
        </w:rPr>
      </w:pPr>
      <w:r w:rsidRPr="00391632">
        <w:rPr>
          <w:rFonts w:ascii="David" w:hAnsi="David"/>
          <w:szCs w:val="24"/>
          <w:rtl/>
        </w:rPr>
        <w:t>כהן אסור לשאת גיורת</w:t>
      </w:r>
      <w:r w:rsidRPr="00391632">
        <w:rPr>
          <w:rStyle w:val="af"/>
          <w:rFonts w:ascii="David" w:hAnsi="David" w:cs="David"/>
          <w:szCs w:val="24"/>
          <w:rtl/>
        </w:rPr>
        <w:endnoteReference w:id="1"/>
      </w:r>
      <w:r w:rsidRPr="00391632">
        <w:rPr>
          <w:rFonts w:ascii="David" w:hAnsi="David"/>
          <w:szCs w:val="24"/>
          <w:rtl/>
        </w:rPr>
        <w:t>, אך יש לברר בצורה מעמיקה ומקיפה מניין ידוע לו שהוא כהן (כמו שציינתם בשאלה שכבר התחלתם לעשות), שהרי ישנם מקרים שבהם נפסק שאינו נחשב כהן</w:t>
      </w:r>
      <w:r w:rsidRPr="00391632">
        <w:rPr>
          <w:rStyle w:val="af"/>
          <w:rFonts w:ascii="David" w:hAnsi="David" w:cs="David"/>
          <w:szCs w:val="24"/>
          <w:rtl/>
        </w:rPr>
        <w:endnoteReference w:id="2"/>
      </w:r>
      <w:r w:rsidRPr="00391632">
        <w:rPr>
          <w:rFonts w:ascii="David" w:hAnsi="David"/>
          <w:szCs w:val="24"/>
          <w:rtl/>
        </w:rPr>
        <w:t>.</w:t>
      </w:r>
    </w:p>
    <w:p w14:paraId="0524D326" w14:textId="63487D83" w:rsidR="00107074" w:rsidRPr="00391632" w:rsidRDefault="00107074" w:rsidP="002A101C">
      <w:pPr>
        <w:pStyle w:val="-0"/>
        <w:numPr>
          <w:ilvl w:val="0"/>
          <w:numId w:val="31"/>
        </w:numPr>
        <w:tabs>
          <w:tab w:val="left" w:pos="282"/>
          <w:tab w:val="left" w:pos="423"/>
        </w:tabs>
        <w:bidi/>
        <w:ind w:left="282" w:hanging="284"/>
        <w:jc w:val="left"/>
        <w:rPr>
          <w:rFonts w:ascii="David" w:hAnsi="David"/>
          <w:szCs w:val="24"/>
          <w:rtl/>
        </w:rPr>
      </w:pPr>
      <w:r w:rsidRPr="00391632">
        <w:rPr>
          <w:rFonts w:ascii="David" w:hAnsi="David"/>
          <w:szCs w:val="24"/>
          <w:rtl/>
        </w:rPr>
        <w:t>אם התברר שהבעל כהן, יש להבהיר להם את הבעייתיות בדבר ולהשתדל להפרידם. אם אינם מסכימים להיפרד, אין לגייר את האישה</w:t>
      </w:r>
      <w:r w:rsidRPr="00391632">
        <w:rPr>
          <w:rStyle w:val="af"/>
          <w:rFonts w:ascii="David" w:hAnsi="David" w:cs="David"/>
          <w:szCs w:val="24"/>
          <w:rtl/>
        </w:rPr>
        <w:endnoteReference w:id="3"/>
      </w:r>
      <w:r w:rsidRPr="00391632">
        <w:rPr>
          <w:rFonts w:ascii="David" w:hAnsi="David"/>
          <w:szCs w:val="24"/>
          <w:rtl/>
        </w:rPr>
        <w:t>.</w:t>
      </w:r>
      <w:bookmarkEnd w:id="0"/>
    </w:p>
    <w:sectPr w:rsidR="00107074" w:rsidRPr="00391632" w:rsidSect="005D10D2">
      <w:headerReference w:type="default" r:id="rId20"/>
      <w:headerReference w:type="first" r:id="rId21"/>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 w:id="1">
    <w:p w14:paraId="5894C220" w14:textId="62972F18" w:rsidR="00107074" w:rsidRPr="00A2478D" w:rsidRDefault="00107074" w:rsidP="00306BB3">
      <w:pPr>
        <w:tabs>
          <w:tab w:val="left" w:pos="140"/>
        </w:tabs>
        <w:ind w:left="-2" w:right="284"/>
        <w:jc w:val="both"/>
        <w:rPr>
          <w:rFonts w:ascii="David" w:hAnsi="David" w:cs="David"/>
          <w:sz w:val="20"/>
          <w:szCs w:val="20"/>
          <w:rtl/>
        </w:rPr>
      </w:pPr>
      <w:r w:rsidRPr="00A2478D">
        <w:rPr>
          <w:rStyle w:val="af"/>
          <w:rFonts w:ascii="David" w:hAnsi="David" w:cs="David"/>
          <w:sz w:val="20"/>
          <w:szCs w:val="20"/>
        </w:rPr>
        <w:endnoteRef/>
      </w:r>
      <w:r w:rsidRPr="00A2478D">
        <w:rPr>
          <w:rFonts w:ascii="David" w:hAnsi="David" w:cs="David"/>
          <w:sz w:val="20"/>
          <w:szCs w:val="20"/>
          <w:rtl/>
        </w:rPr>
        <w:t xml:space="preserve"> </w:t>
      </w:r>
      <w:r w:rsidR="00306BB3">
        <w:rPr>
          <w:rFonts w:ascii="David" w:hAnsi="David" w:cs="David"/>
          <w:sz w:val="20"/>
          <w:szCs w:val="20"/>
          <w:rtl/>
        </w:rPr>
        <w:tab/>
      </w:r>
      <w:r w:rsidRPr="00A2478D">
        <w:rPr>
          <w:rFonts w:ascii="David" w:hAnsi="David" w:cs="David"/>
          <w:sz w:val="20"/>
          <w:szCs w:val="20"/>
          <w:rtl/>
        </w:rPr>
        <w:t xml:space="preserve">מקורות האיסור ותוקפו: </w:t>
      </w:r>
    </w:p>
    <w:p w14:paraId="5DE81F16"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א. נאמר בתורה (ויקרא כא,</w:t>
      </w:r>
      <w:r w:rsidRPr="00A2478D">
        <w:rPr>
          <w:rFonts w:ascii="David" w:hAnsi="David" w:cs="David" w:hint="cs"/>
          <w:sz w:val="20"/>
          <w:szCs w:val="20"/>
          <w:rtl/>
        </w:rPr>
        <w:t xml:space="preserve"> </w:t>
      </w:r>
      <w:r w:rsidRPr="00A2478D">
        <w:rPr>
          <w:rFonts w:ascii="David" w:hAnsi="David" w:cs="David"/>
          <w:sz w:val="20"/>
          <w:szCs w:val="20"/>
          <w:rtl/>
        </w:rPr>
        <w:t xml:space="preserve">ז): "אשה זנה וחללה לא יקחו ואשה גרושה מאשה לא יקחו כי קדש הוא לא-להיו". </w:t>
      </w:r>
    </w:p>
    <w:p w14:paraId="2CFD8A8D"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ב. בגמ</w:t>
      </w:r>
      <w:r w:rsidRPr="00A2478D">
        <w:rPr>
          <w:rFonts w:ascii="David" w:hAnsi="David" w:cs="David" w:hint="cs"/>
          <w:sz w:val="20"/>
          <w:szCs w:val="20"/>
          <w:rtl/>
        </w:rPr>
        <w:t>רא</w:t>
      </w:r>
      <w:r w:rsidRPr="00A2478D">
        <w:rPr>
          <w:rFonts w:ascii="David" w:hAnsi="David" w:cs="David"/>
          <w:sz w:val="20"/>
          <w:szCs w:val="20"/>
          <w:rtl/>
        </w:rPr>
        <w:t xml:space="preserve"> יבמות (סא ע"ב) מובא: "והתניא: זונה – זונה כשמה, </w:t>
      </w:r>
      <w:r w:rsidRPr="000D10A9">
        <w:rPr>
          <w:rFonts w:ascii="David" w:hAnsi="David" w:cs="David"/>
          <w:sz w:val="20"/>
          <w:szCs w:val="20"/>
          <w:rtl/>
        </w:rPr>
        <w:t xml:space="preserve">דברי </w:t>
      </w:r>
      <w:r w:rsidRPr="000D10A9">
        <w:rPr>
          <w:rStyle w:val="53"/>
          <w:rFonts w:ascii="David" w:hAnsi="David" w:cs="David"/>
          <w:sz w:val="20"/>
          <w:szCs w:val="20"/>
          <w:rtl/>
        </w:rPr>
        <w:t>רבי אליעזר</w:t>
      </w:r>
      <w:r w:rsidRPr="00A2478D">
        <w:rPr>
          <w:rStyle w:val="53"/>
          <w:rFonts w:ascii="David" w:hAnsi="David" w:cs="David"/>
          <w:sz w:val="20"/>
          <w:szCs w:val="20"/>
          <w:rtl/>
        </w:rPr>
        <w:t xml:space="preserve"> </w:t>
      </w:r>
      <w:r w:rsidRPr="00A2478D">
        <w:rPr>
          <w:rFonts w:ascii="David" w:hAnsi="David" w:cs="David"/>
          <w:sz w:val="20"/>
          <w:szCs w:val="20"/>
          <w:rtl/>
        </w:rPr>
        <w:t>(</w:t>
      </w:r>
      <w:r w:rsidRPr="00A2478D">
        <w:rPr>
          <w:rFonts w:ascii="David" w:hAnsi="David" w:cs="David" w:hint="cs"/>
          <w:sz w:val="20"/>
          <w:szCs w:val="20"/>
          <w:rtl/>
        </w:rPr>
        <w:t xml:space="preserve">פירש </w:t>
      </w:r>
      <w:r w:rsidRPr="00A2478D">
        <w:rPr>
          <w:rFonts w:ascii="David" w:hAnsi="David" w:cs="David"/>
          <w:sz w:val="20"/>
          <w:szCs w:val="20"/>
          <w:rtl/>
        </w:rPr>
        <w:t>רש"י: לשון טועה, שטועה מתחת בעלה לאחרים, דלרבי אליעזר אין זונה אלא אשת איש)</w:t>
      </w:r>
      <w:r w:rsidRPr="00A2478D">
        <w:rPr>
          <w:rFonts w:ascii="David" w:hAnsi="David" w:cs="David"/>
          <w:b/>
          <w:bCs/>
          <w:sz w:val="20"/>
          <w:szCs w:val="20"/>
          <w:rtl/>
        </w:rPr>
        <w:t xml:space="preserve">; </w:t>
      </w:r>
      <w:r w:rsidRPr="000D10A9">
        <w:rPr>
          <w:rStyle w:val="53"/>
          <w:rFonts w:ascii="David" w:hAnsi="David" w:cs="David"/>
          <w:sz w:val="20"/>
          <w:szCs w:val="20"/>
          <w:rtl/>
        </w:rPr>
        <w:t>רבי עקיבא</w:t>
      </w:r>
      <w:r w:rsidRPr="00A2478D">
        <w:rPr>
          <w:rFonts w:ascii="David" w:hAnsi="David" w:cs="David"/>
          <w:sz w:val="20"/>
          <w:szCs w:val="20"/>
          <w:rtl/>
        </w:rPr>
        <w:t xml:space="preserve"> אומר: זונה זו מופקרת (רש"י: ואפי' פנויה, מאחר שהפקירה עצמה לכל קרויה זונה, אבל משום בעילה אחת לא הויא זונה הפנויה); </w:t>
      </w:r>
      <w:r w:rsidRPr="000D10A9">
        <w:rPr>
          <w:rStyle w:val="53"/>
          <w:rFonts w:ascii="David" w:hAnsi="David" w:cs="David"/>
          <w:sz w:val="20"/>
          <w:szCs w:val="20"/>
          <w:rtl/>
        </w:rPr>
        <w:t>רבי מתיא בן חרש</w:t>
      </w:r>
      <w:r w:rsidRPr="00A2478D">
        <w:rPr>
          <w:rFonts w:ascii="David" w:hAnsi="David" w:cs="David"/>
          <w:sz w:val="20"/>
          <w:szCs w:val="20"/>
          <w:rtl/>
        </w:rPr>
        <w:t xml:space="preserve"> אומר: אפי' הלך בעלה להשקותה ובא עליה בדרך, עשאה זונה (רש"י: שקינא לה ונסתרה, ואסורה לו עד שתשתה, עשאה זונה הואיל ונבעלה לפסול לה ואם מת אסורה לכהן); </w:t>
      </w:r>
      <w:r w:rsidRPr="000D10A9">
        <w:rPr>
          <w:rStyle w:val="53"/>
          <w:rFonts w:ascii="David" w:hAnsi="David" w:cs="David"/>
          <w:sz w:val="20"/>
          <w:szCs w:val="20"/>
          <w:rtl/>
        </w:rPr>
        <w:t>רבי יהודה</w:t>
      </w:r>
      <w:r w:rsidRPr="00A2478D">
        <w:rPr>
          <w:rFonts w:ascii="David" w:hAnsi="David" w:cs="David"/>
          <w:sz w:val="20"/>
          <w:szCs w:val="20"/>
          <w:rtl/>
        </w:rPr>
        <w:t xml:space="preserve"> אומר: זונה זו אילונית; </w:t>
      </w:r>
      <w:r w:rsidRPr="000D10A9">
        <w:rPr>
          <w:rStyle w:val="53"/>
          <w:rFonts w:ascii="David" w:hAnsi="David" w:cs="David"/>
          <w:sz w:val="20"/>
          <w:szCs w:val="20"/>
          <w:rtl/>
        </w:rPr>
        <w:t>וחכמים</w:t>
      </w:r>
      <w:r w:rsidRPr="00A2478D">
        <w:rPr>
          <w:rFonts w:ascii="David" w:hAnsi="David" w:cs="David"/>
          <w:sz w:val="20"/>
          <w:szCs w:val="20"/>
          <w:rtl/>
        </w:rPr>
        <w:t xml:space="preserve"> אומרים: אין זונה אלא גיורת ומשוחררת ושנבעלה בעילת זנות; </w:t>
      </w:r>
      <w:r w:rsidRPr="000D10A9">
        <w:rPr>
          <w:rStyle w:val="53"/>
          <w:rFonts w:ascii="David" w:hAnsi="David" w:cs="David"/>
          <w:sz w:val="20"/>
          <w:szCs w:val="20"/>
          <w:rtl/>
        </w:rPr>
        <w:t>ר' אלעזר</w:t>
      </w:r>
      <w:r w:rsidRPr="00A2478D">
        <w:rPr>
          <w:rFonts w:ascii="David" w:hAnsi="David" w:cs="David"/>
          <w:sz w:val="20"/>
          <w:szCs w:val="20"/>
          <w:rtl/>
        </w:rPr>
        <w:t xml:space="preserve"> אומר: פנוי הבא על הפנויה שלא לשם אישות, עשאה זונה". </w:t>
      </w:r>
    </w:p>
    <w:p w14:paraId="15B90ADB"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ג. בגמ</w:t>
      </w:r>
      <w:r w:rsidRPr="00A2478D">
        <w:rPr>
          <w:rFonts w:ascii="David" w:hAnsi="David" w:cs="David" w:hint="cs"/>
          <w:sz w:val="20"/>
          <w:szCs w:val="20"/>
          <w:rtl/>
        </w:rPr>
        <w:t>רא</w:t>
      </w:r>
      <w:r w:rsidRPr="00A2478D">
        <w:rPr>
          <w:rFonts w:ascii="David" w:hAnsi="David" w:cs="David"/>
          <w:sz w:val="20"/>
          <w:szCs w:val="20"/>
          <w:rtl/>
        </w:rPr>
        <w:t xml:space="preserve"> קידושין (עח ע"א) מובא: "תניא, רבי שמעון בן יוחי אומר: גיורת פחותה מבת שלש שנים ויום אחד, כשרה לכהונה, שנאמר: וכל הטף בנשים... החיו לכם, והלא פינחס היה עמהם. ורבנן? החיו לכם, לעבדים ולשפחות. וכולן מקרא אחד דרשו: אלמנה וגרושה לא יקחו להם לנשים כי אם בתולות מזרע בית ישראל; רבי יהודה סבר: עד דאית כל זרע מישראל, רבי אליעזר בן יעקב סבר: מזרע, ואפילו מקצת זרע, רבי יוסי סבר: מי שנזרעו בישראל, רבי שמעון בן יוחי סבר: מי שנזרעו בתוליה בישראל". והגמרא (יבמות ס ע"ב) מביאה את המחלוקת הנ"ל ומוסיפה: "אמר רבי יעקב בר אידי אמר רבי יהושע בן לוי: הלכה כרבי שמעון בן יוחאי. אמר ליה רבי זירא לרבי יעקב בר אידי: בפירוש שמיע לך, או מכללא שמיע לך? מאי כללא? דאמר ר' יהושע בן לוי: עיר אחת היתה בארץ ישראל שקרא עליה ערער, ושגר רבי את רבי רומנוס ובדקה, ומצא בה בת גיורת פחותה מבת שלש שנים ויום אחד, והכשירה רבי לכהונה; אמר ליה: בפירוש שמיע לי. ואי מכללא מאי? דלמא שאני התם, הואיל ואנסיב אנסיב, דהא רב ורבי יוחנן דאמרי תרוייהו: בוגרת ומוכת עץ לא ישא, ואם נשא נשוי! הכי השתא, בשלמא התם סופה להיות בוגרת תחתיו, סופה להיות בעולה תחתיו, הכא סופה להיות זונה תחתיו? רב ספרא מתני לה מכללא, וקשיא ליה, ומשני ליה הכי..</w:t>
      </w:r>
      <w:r w:rsidRPr="00A2478D">
        <w:rPr>
          <w:rFonts w:ascii="David" w:hAnsi="David" w:cs="David" w:hint="cs"/>
          <w:sz w:val="20"/>
          <w:szCs w:val="20"/>
          <w:rtl/>
        </w:rPr>
        <w:t>."</w:t>
      </w:r>
      <w:r w:rsidRPr="00A2478D">
        <w:rPr>
          <w:rFonts w:ascii="David" w:hAnsi="David" w:cs="David"/>
          <w:sz w:val="20"/>
          <w:szCs w:val="20"/>
          <w:rtl/>
        </w:rPr>
        <w:t>. ממסקנת הגמרא עולה ש</w:t>
      </w:r>
      <w:r w:rsidRPr="00A2478D">
        <w:rPr>
          <w:rFonts w:ascii="David" w:hAnsi="David" w:cs="David" w:hint="cs"/>
          <w:sz w:val="20"/>
          <w:szCs w:val="20"/>
          <w:rtl/>
        </w:rPr>
        <w:t xml:space="preserve">גם </w:t>
      </w:r>
      <w:r w:rsidRPr="00A2478D">
        <w:rPr>
          <w:rFonts w:ascii="David" w:hAnsi="David" w:cs="David"/>
          <w:sz w:val="20"/>
          <w:szCs w:val="20"/>
          <w:rtl/>
        </w:rPr>
        <w:t xml:space="preserve">אם הגיורת </w:t>
      </w:r>
      <w:r w:rsidRPr="00A2478D">
        <w:rPr>
          <w:rFonts w:ascii="David" w:hAnsi="David" w:cs="David" w:hint="cs"/>
          <w:sz w:val="20"/>
          <w:szCs w:val="20"/>
          <w:rtl/>
        </w:rPr>
        <w:t xml:space="preserve">נישאת </w:t>
      </w:r>
      <w:r w:rsidRPr="00A2478D">
        <w:rPr>
          <w:rFonts w:ascii="David" w:hAnsi="David" w:cs="David"/>
          <w:sz w:val="20"/>
          <w:szCs w:val="20"/>
          <w:rtl/>
        </w:rPr>
        <w:t xml:space="preserve">לכהן </w:t>
      </w:r>
      <w:r w:rsidRPr="00A2478D">
        <w:rPr>
          <w:rFonts w:ascii="David" w:hAnsi="David" w:cs="David" w:hint="cs"/>
          <w:sz w:val="20"/>
          <w:szCs w:val="20"/>
          <w:rtl/>
        </w:rPr>
        <w:t xml:space="preserve">– </w:t>
      </w:r>
      <w:r w:rsidRPr="00A2478D">
        <w:rPr>
          <w:rFonts w:ascii="David" w:hAnsi="David" w:cs="David"/>
          <w:sz w:val="20"/>
          <w:szCs w:val="20"/>
          <w:rtl/>
        </w:rPr>
        <w:t xml:space="preserve">תצא. </w:t>
      </w:r>
    </w:p>
    <w:p w14:paraId="76E23FE8"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ד. בגמרא עבודה זרה (לו ע"ב) מובא: "דכי אתא רב דימי אמר: בי"ד של חשמונאי גזרו, ישראל הבא על העובדת כוכבים חייב משום נשג"א (=נידה, שפחה, גויה, אשת איש), כי אתא רבין אמר: משום נשג"ז (נידה, שפחה, גויה, זונה)..</w:t>
      </w:r>
      <w:r w:rsidRPr="00A2478D">
        <w:rPr>
          <w:rFonts w:ascii="David" w:hAnsi="David" w:cs="David" w:hint="cs"/>
          <w:sz w:val="20"/>
          <w:szCs w:val="20"/>
          <w:rtl/>
        </w:rPr>
        <w:t>."</w:t>
      </w:r>
      <w:r w:rsidRPr="00A2478D">
        <w:rPr>
          <w:rFonts w:ascii="David" w:hAnsi="David" w:cs="David"/>
          <w:sz w:val="20"/>
          <w:szCs w:val="20"/>
          <w:rtl/>
        </w:rPr>
        <w:t>. ו</w:t>
      </w:r>
      <w:r w:rsidRPr="00A2478D">
        <w:rPr>
          <w:rFonts w:ascii="David" w:hAnsi="David" w:cs="David" w:hint="cs"/>
          <w:sz w:val="20"/>
          <w:szCs w:val="20"/>
          <w:rtl/>
        </w:rPr>
        <w:t xml:space="preserve">פירש </w:t>
      </w:r>
      <w:r w:rsidRPr="00A2478D">
        <w:rPr>
          <w:rFonts w:ascii="David" w:hAnsi="David" w:cs="David"/>
          <w:sz w:val="20"/>
          <w:szCs w:val="20"/>
          <w:rtl/>
        </w:rPr>
        <w:t>רש"י שם שאם כהן בא עליה חייב משום 'זונה', אך סייג</w:t>
      </w:r>
      <w:r w:rsidRPr="00A2478D">
        <w:rPr>
          <w:rFonts w:ascii="David" w:hAnsi="David" w:cs="David" w:hint="cs"/>
          <w:sz w:val="20"/>
          <w:szCs w:val="20"/>
          <w:rtl/>
        </w:rPr>
        <w:t>:</w:t>
      </w:r>
      <w:r w:rsidRPr="00A2478D">
        <w:rPr>
          <w:rFonts w:ascii="David" w:hAnsi="David" w:cs="David"/>
          <w:sz w:val="20"/>
          <w:szCs w:val="20"/>
          <w:rtl/>
        </w:rPr>
        <w:t xml:space="preserve"> "ולא לאו ממש</w:t>
      </w:r>
      <w:r w:rsidRPr="00A2478D">
        <w:rPr>
          <w:rFonts w:ascii="David" w:hAnsi="David" w:cs="David" w:hint="cs"/>
          <w:sz w:val="20"/>
          <w:szCs w:val="20"/>
          <w:rtl/>
        </w:rPr>
        <w:t>,</w:t>
      </w:r>
      <w:r w:rsidRPr="00A2478D">
        <w:rPr>
          <w:rFonts w:ascii="David" w:hAnsi="David" w:cs="David"/>
          <w:sz w:val="20"/>
          <w:szCs w:val="20"/>
          <w:rtl/>
        </w:rPr>
        <w:t xml:space="preserve"> אלא גזירה משום זונה ישראלית שנבעלה לאסור לה". </w:t>
      </w:r>
    </w:p>
    <w:p w14:paraId="60BAAB01"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ה. בירושלמי קידושין (ד</w:t>
      </w:r>
      <w:r w:rsidRPr="00A2478D">
        <w:rPr>
          <w:rFonts w:ascii="David" w:hAnsi="David" w:cs="David" w:hint="cs"/>
          <w:sz w:val="20"/>
          <w:szCs w:val="20"/>
          <w:rtl/>
        </w:rPr>
        <w:t>,</w:t>
      </w:r>
      <w:r w:rsidRPr="00A2478D">
        <w:rPr>
          <w:rFonts w:ascii="David" w:hAnsi="David" w:cs="David"/>
          <w:sz w:val="20"/>
          <w:szCs w:val="20"/>
          <w:rtl/>
        </w:rPr>
        <w:t xml:space="preserve"> ו) מובא: "כי אם בתולה מעמיו יקח אשה (ויקרא כא,יג), לא גיורת; כל לא תעשה שהוא בא מכח עשה עשה הוא" ונפקא מינה ל</w:t>
      </w:r>
      <w:r>
        <w:rPr>
          <w:rFonts w:ascii="David" w:hAnsi="David" w:cs="David"/>
          <w:sz w:val="20"/>
          <w:szCs w:val="20"/>
          <w:rtl/>
        </w:rPr>
        <w:t>ענין</w:t>
      </w:r>
      <w:r w:rsidRPr="00A2478D">
        <w:rPr>
          <w:rFonts w:ascii="David" w:hAnsi="David" w:cs="David"/>
          <w:sz w:val="20"/>
          <w:szCs w:val="20"/>
          <w:rtl/>
        </w:rPr>
        <w:t xml:space="preserve"> הבנים שאינם חללים, הואיל וזהו רק איסור עשה, ולא לאו. וכן גורסים בתוס</w:t>
      </w:r>
      <w:r w:rsidRPr="00A2478D">
        <w:rPr>
          <w:rFonts w:ascii="David" w:hAnsi="David" w:cs="David" w:hint="cs"/>
          <w:sz w:val="20"/>
          <w:szCs w:val="20"/>
          <w:rtl/>
        </w:rPr>
        <w:t>פות</w:t>
      </w:r>
      <w:r w:rsidRPr="00A2478D">
        <w:rPr>
          <w:rFonts w:ascii="David" w:hAnsi="David" w:cs="David"/>
          <w:sz w:val="20"/>
          <w:szCs w:val="20"/>
          <w:rtl/>
        </w:rPr>
        <w:t xml:space="preserve"> (סנהדרין פב ע"א ד"ה ואידך). אמנם קרבן העדה (שם ד"ה ה"ג) גרס שהירושלמי אינו מדבר על הפסוק </w:t>
      </w:r>
      <w:r w:rsidRPr="00A2478D">
        <w:rPr>
          <w:rFonts w:ascii="David" w:hAnsi="David" w:cs="David" w:hint="cs"/>
          <w:sz w:val="20"/>
          <w:szCs w:val="20"/>
          <w:rtl/>
        </w:rPr>
        <w:t>"</w:t>
      </w:r>
      <w:r w:rsidRPr="00A2478D">
        <w:rPr>
          <w:rFonts w:ascii="David" w:hAnsi="David" w:cs="David"/>
          <w:sz w:val="20"/>
          <w:szCs w:val="20"/>
          <w:rtl/>
        </w:rPr>
        <w:t>כי אם בתולה מעמיו</w:t>
      </w:r>
      <w:r w:rsidRPr="00A2478D">
        <w:rPr>
          <w:rFonts w:ascii="David" w:hAnsi="David" w:cs="David" w:hint="cs"/>
          <w:sz w:val="20"/>
          <w:szCs w:val="20"/>
          <w:rtl/>
        </w:rPr>
        <w:t>"</w:t>
      </w:r>
      <w:r w:rsidRPr="00A2478D">
        <w:rPr>
          <w:rFonts w:ascii="David" w:hAnsi="David" w:cs="David"/>
          <w:sz w:val="20"/>
          <w:szCs w:val="20"/>
          <w:rtl/>
        </w:rPr>
        <w:t>, אלא על הפסוק ביחזקאל (מד,כב), "כי אם בתולה מזרע בית ישראל". ו</w:t>
      </w:r>
      <w:r w:rsidRPr="00A2478D">
        <w:rPr>
          <w:rFonts w:ascii="David" w:hAnsi="David" w:cs="David" w:hint="cs"/>
          <w:sz w:val="20"/>
          <w:szCs w:val="20"/>
          <w:rtl/>
        </w:rPr>
        <w:t xml:space="preserve">ראו </w:t>
      </w:r>
      <w:r w:rsidRPr="00A2478D">
        <w:rPr>
          <w:rFonts w:ascii="David" w:hAnsi="David" w:cs="David"/>
          <w:sz w:val="20"/>
          <w:szCs w:val="20"/>
          <w:rtl/>
        </w:rPr>
        <w:t>לקמן במחלוקת הרמב"ם והראב"ד.</w:t>
      </w:r>
    </w:p>
    <w:p w14:paraId="743F2BCA"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 xml:space="preserve">בראשונים: </w:t>
      </w:r>
    </w:p>
    <w:p w14:paraId="367FC9D6"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1. לרמב"ם (הל</w:t>
      </w:r>
      <w:r w:rsidRPr="00A2478D">
        <w:rPr>
          <w:rFonts w:ascii="David" w:hAnsi="David" w:cs="David" w:hint="cs"/>
          <w:sz w:val="20"/>
          <w:szCs w:val="20"/>
          <w:rtl/>
        </w:rPr>
        <w:t>כות</w:t>
      </w:r>
      <w:r w:rsidRPr="00A2478D">
        <w:rPr>
          <w:rFonts w:ascii="David" w:hAnsi="David" w:cs="David"/>
          <w:sz w:val="20"/>
          <w:szCs w:val="20"/>
          <w:rtl/>
        </w:rPr>
        <w:t xml:space="preserve"> איסורי ביאה יח,</w:t>
      </w:r>
      <w:r w:rsidRPr="00A2478D">
        <w:rPr>
          <w:rFonts w:ascii="David" w:hAnsi="David" w:cs="David" w:hint="cs"/>
          <w:sz w:val="20"/>
          <w:szCs w:val="20"/>
          <w:rtl/>
        </w:rPr>
        <w:t xml:space="preserve"> </w:t>
      </w:r>
      <w:r w:rsidRPr="00A2478D">
        <w:rPr>
          <w:rFonts w:ascii="David" w:hAnsi="David" w:cs="David"/>
          <w:sz w:val="20"/>
          <w:szCs w:val="20"/>
          <w:rtl/>
        </w:rPr>
        <w:t xml:space="preserve">ג) גיורת אסורה לכהן משום זונה. </w:t>
      </w:r>
      <w:r w:rsidRPr="00A2478D">
        <w:rPr>
          <w:rFonts w:ascii="David" w:hAnsi="David" w:cs="David" w:hint="cs"/>
          <w:sz w:val="20"/>
          <w:szCs w:val="20"/>
          <w:rtl/>
        </w:rPr>
        <w:t xml:space="preserve">לעומת זה במקום אחר </w:t>
      </w:r>
      <w:r w:rsidRPr="00A2478D">
        <w:rPr>
          <w:rFonts w:ascii="David" w:hAnsi="David" w:cs="David"/>
          <w:sz w:val="20"/>
          <w:szCs w:val="20"/>
          <w:rtl/>
        </w:rPr>
        <w:t>פסק (הל</w:t>
      </w:r>
      <w:r w:rsidRPr="00A2478D">
        <w:rPr>
          <w:rFonts w:ascii="David" w:hAnsi="David" w:cs="David" w:hint="cs"/>
          <w:sz w:val="20"/>
          <w:szCs w:val="20"/>
          <w:rtl/>
        </w:rPr>
        <w:t>כות</w:t>
      </w:r>
      <w:r w:rsidRPr="00A2478D">
        <w:rPr>
          <w:rFonts w:ascii="David" w:hAnsi="David" w:cs="David"/>
          <w:sz w:val="20"/>
          <w:szCs w:val="20"/>
          <w:rtl/>
        </w:rPr>
        <w:t xml:space="preserve"> איסורי ביאה טז, א, לאור הגמ</w:t>
      </w:r>
      <w:r w:rsidRPr="00A2478D">
        <w:rPr>
          <w:rFonts w:ascii="David" w:hAnsi="David" w:cs="David" w:hint="cs"/>
          <w:sz w:val="20"/>
          <w:szCs w:val="20"/>
          <w:rtl/>
        </w:rPr>
        <w:t>רא</w:t>
      </w:r>
      <w:r w:rsidRPr="00A2478D">
        <w:rPr>
          <w:rFonts w:ascii="David" w:hAnsi="David" w:cs="David"/>
          <w:sz w:val="20"/>
          <w:szCs w:val="20"/>
          <w:rtl/>
        </w:rPr>
        <w:t xml:space="preserve"> ביבמות עו ע"א) ש"כהן שהוא פצוע דכא מותר לישא גיורת ומשוחררת לפי שאינו בקדושתו". והוסיף הרמב"ם לגבי פצוע דכא (הל</w:t>
      </w:r>
      <w:r w:rsidRPr="00A2478D">
        <w:rPr>
          <w:rFonts w:ascii="David" w:hAnsi="David" w:cs="David" w:hint="cs"/>
          <w:sz w:val="20"/>
          <w:szCs w:val="20"/>
          <w:rtl/>
        </w:rPr>
        <w:t>כות</w:t>
      </w:r>
      <w:r w:rsidRPr="00A2478D">
        <w:rPr>
          <w:rFonts w:ascii="David" w:hAnsi="David" w:cs="David"/>
          <w:sz w:val="20"/>
          <w:szCs w:val="20"/>
          <w:rtl/>
        </w:rPr>
        <w:t xml:space="preserve"> איסורי ביאה טז,</w:t>
      </w:r>
      <w:r w:rsidRPr="00A2478D">
        <w:rPr>
          <w:rFonts w:ascii="David" w:hAnsi="David" w:cs="David" w:hint="cs"/>
          <w:sz w:val="20"/>
          <w:szCs w:val="20"/>
          <w:rtl/>
        </w:rPr>
        <w:t xml:space="preserve"> </w:t>
      </w:r>
      <w:r w:rsidRPr="00A2478D">
        <w:rPr>
          <w:rFonts w:ascii="David" w:hAnsi="David" w:cs="David"/>
          <w:sz w:val="20"/>
          <w:szCs w:val="20"/>
          <w:rtl/>
        </w:rPr>
        <w:t>ב), "הואיל ופצוע דכא אסור לבוא בקהל לא גזרו בו על הנתינים ולא על הספיקות, אבל פצוע דכא וכרות שפכה אסור בממזרת ודאית שהרי אסורה מן התורה". וב</w:t>
      </w:r>
      <w:r w:rsidRPr="00A2478D">
        <w:rPr>
          <w:rFonts w:ascii="David" w:hAnsi="David" w:cs="David" w:hint="cs"/>
          <w:sz w:val="20"/>
          <w:szCs w:val="20"/>
          <w:rtl/>
        </w:rPr>
        <w:t>י</w:t>
      </w:r>
      <w:r w:rsidRPr="00A2478D">
        <w:rPr>
          <w:rFonts w:ascii="David" w:hAnsi="David" w:cs="David"/>
          <w:sz w:val="20"/>
          <w:szCs w:val="20"/>
          <w:rtl/>
        </w:rPr>
        <w:t xml:space="preserve">אר המגיד משנה (שם) שאף שכהן פצוע דכא אינו בקדושתו, מכל מקום "בממזרת סובר רבינו שהוא אסור... לענין ממזרת בקדושתיה קאי; ואף על גב דכהן לאו בקדושתיה קאי ולא ילפינן ממזרת, שהוא לאו השוה בכל, מגיורת לכהן דלא מפרש לאויה בקרא ואין איסורו שוה בכל ואין לנו להתיר אלא מה שמנו חכמים". הריטב"א (יבמות עו ע"ב) </w:t>
      </w:r>
      <w:r w:rsidRPr="00A2478D">
        <w:rPr>
          <w:rFonts w:ascii="David" w:hAnsi="David" w:cs="David" w:hint="cs"/>
          <w:sz w:val="20"/>
          <w:szCs w:val="20"/>
          <w:rtl/>
        </w:rPr>
        <w:t>ה</w:t>
      </w:r>
      <w:r w:rsidRPr="00A2478D">
        <w:rPr>
          <w:rFonts w:ascii="David" w:hAnsi="David" w:cs="David"/>
          <w:sz w:val="20"/>
          <w:szCs w:val="20"/>
          <w:rtl/>
        </w:rPr>
        <w:t>בין בדעת הרמב"ם "דגיורת לכהן ונתינה לישראל אסורה מדבריהם וממזרת איסור תורה ולא התירו לו אלא איסור של דבריהם". וכן דייק המראה הפנים (יבמות ח</w:t>
      </w:r>
      <w:r w:rsidRPr="00A2478D">
        <w:rPr>
          <w:rFonts w:ascii="David" w:hAnsi="David" w:cs="David" w:hint="cs"/>
          <w:sz w:val="20"/>
          <w:szCs w:val="20"/>
          <w:rtl/>
        </w:rPr>
        <w:t>,</w:t>
      </w:r>
      <w:r w:rsidRPr="00A2478D">
        <w:rPr>
          <w:rFonts w:ascii="David" w:hAnsi="David" w:cs="David"/>
          <w:sz w:val="20"/>
          <w:szCs w:val="20"/>
          <w:rtl/>
        </w:rPr>
        <w:t xml:space="preserve"> ב ד"ה כמה דאמר וד"ה בתולה מעמיו) שלרמב"ם איסור גיורת לכהן אינו מדאורי</w:t>
      </w:r>
      <w:r w:rsidRPr="00A2478D">
        <w:rPr>
          <w:rFonts w:ascii="David" w:hAnsi="David" w:cs="David" w:hint="cs"/>
          <w:sz w:val="20"/>
          <w:szCs w:val="20"/>
          <w:rtl/>
        </w:rPr>
        <w:t>י</w:t>
      </w:r>
      <w:r w:rsidRPr="00A2478D">
        <w:rPr>
          <w:rFonts w:ascii="David" w:hAnsi="David" w:cs="David"/>
          <w:sz w:val="20"/>
          <w:szCs w:val="20"/>
          <w:rtl/>
        </w:rPr>
        <w:t>תא. היביע אומר (ח</w:t>
      </w:r>
      <w:r w:rsidRPr="00A2478D">
        <w:rPr>
          <w:rFonts w:ascii="David" w:hAnsi="David" w:cs="David" w:hint="cs"/>
          <w:sz w:val="20"/>
          <w:szCs w:val="20"/>
          <w:rtl/>
        </w:rPr>
        <w:t xml:space="preserve">לק </w:t>
      </w:r>
      <w:r w:rsidRPr="00A2478D">
        <w:rPr>
          <w:rFonts w:ascii="David" w:hAnsi="David" w:cs="David"/>
          <w:sz w:val="20"/>
          <w:szCs w:val="20"/>
          <w:rtl/>
        </w:rPr>
        <w:t>ז אבהע"ז סימן יא) ציין שייתכן שטעמו של הרמב"ם שגיורת אסורה לכהן רק מדרבנן הוא מפני שחוששים שמא נבעלה בגיותה לנכרי, ועל כן היא ספק זונה, והרמב"ם לשיטתו שסובר שספק דאורייתא לחומרא הוא רק מדרבנן. אף על פי כן, פשטות הרמב"ם בהלכות איסורי ביאה היא שגיורת אסורה לכהן מן התורה.</w:t>
      </w:r>
    </w:p>
    <w:p w14:paraId="5F6EEE7B"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2. לראב"ד (בהשגותיו להל</w:t>
      </w:r>
      <w:r w:rsidRPr="00A2478D">
        <w:rPr>
          <w:rFonts w:ascii="David" w:hAnsi="David" w:cs="David" w:hint="cs"/>
          <w:sz w:val="20"/>
          <w:szCs w:val="20"/>
          <w:rtl/>
        </w:rPr>
        <w:t>כות</w:t>
      </w:r>
      <w:r w:rsidRPr="00A2478D">
        <w:rPr>
          <w:rFonts w:ascii="David" w:hAnsi="David" w:cs="David"/>
          <w:sz w:val="20"/>
          <w:szCs w:val="20"/>
          <w:rtl/>
        </w:rPr>
        <w:t xml:space="preserve"> איסורי ביאה יח,</w:t>
      </w:r>
      <w:r w:rsidRPr="00A2478D">
        <w:rPr>
          <w:rFonts w:ascii="David" w:hAnsi="David" w:cs="David" w:hint="cs"/>
          <w:sz w:val="20"/>
          <w:szCs w:val="20"/>
          <w:rtl/>
        </w:rPr>
        <w:t xml:space="preserve"> </w:t>
      </w:r>
      <w:r w:rsidRPr="00A2478D">
        <w:rPr>
          <w:rFonts w:ascii="David" w:hAnsi="David" w:cs="David"/>
          <w:sz w:val="20"/>
          <w:szCs w:val="20"/>
          <w:rtl/>
        </w:rPr>
        <w:t>ג) האיסור אינו משום זונה אלא משום האמור ביחזקאל (מד, כב) שהכהן צריך לישא "בתולות מזרע בית ישראל". הרשב"א (יבמות ס ע"ב, ובתשובות ח</w:t>
      </w:r>
      <w:r w:rsidRPr="00A2478D">
        <w:rPr>
          <w:rFonts w:ascii="David" w:hAnsi="David" w:cs="David" w:hint="cs"/>
          <w:sz w:val="20"/>
          <w:szCs w:val="20"/>
          <w:rtl/>
        </w:rPr>
        <w:t xml:space="preserve">לק </w:t>
      </w:r>
      <w:r w:rsidRPr="00A2478D">
        <w:rPr>
          <w:rFonts w:ascii="David" w:hAnsi="David" w:cs="David"/>
          <w:sz w:val="20"/>
          <w:szCs w:val="20"/>
          <w:rtl/>
        </w:rPr>
        <w:t>א סימן אלף רלא) סובר עקרונית כראב"ד, אך הוסיף (ביבמות</w:t>
      </w:r>
      <w:r w:rsidRPr="00A2478D">
        <w:rPr>
          <w:rFonts w:ascii="David" w:hAnsi="David" w:cs="David" w:hint="cs"/>
          <w:sz w:val="20"/>
          <w:szCs w:val="20"/>
          <w:rtl/>
        </w:rPr>
        <w:t xml:space="preserve"> שם</w:t>
      </w:r>
      <w:r w:rsidRPr="00A2478D">
        <w:rPr>
          <w:rFonts w:ascii="David" w:hAnsi="David" w:cs="David"/>
          <w:sz w:val="20"/>
          <w:szCs w:val="20"/>
          <w:rtl/>
        </w:rPr>
        <w:t>)</w:t>
      </w:r>
      <w:r w:rsidRPr="00A2478D">
        <w:rPr>
          <w:rFonts w:ascii="David" w:hAnsi="David" w:cs="David" w:hint="cs"/>
          <w:sz w:val="20"/>
          <w:szCs w:val="20"/>
          <w:rtl/>
        </w:rPr>
        <w:t>:</w:t>
      </w:r>
      <w:r w:rsidRPr="00A2478D">
        <w:rPr>
          <w:rFonts w:ascii="David" w:hAnsi="David" w:cs="David"/>
          <w:sz w:val="20"/>
          <w:szCs w:val="20"/>
          <w:rtl/>
        </w:rPr>
        <w:t xml:space="preserve"> "ואף על גב דדברי קבלה הן, דאורייתא נינהו, אלא דאתא יחזקאל וגלי וכדאמרינן בעלמא (מו</w:t>
      </w:r>
      <w:r w:rsidRPr="00A2478D">
        <w:rPr>
          <w:rFonts w:ascii="David" w:hAnsi="David" w:cs="David" w:hint="cs"/>
          <w:sz w:val="20"/>
          <w:szCs w:val="20"/>
          <w:rtl/>
        </w:rPr>
        <w:t>עד קטן</w:t>
      </w:r>
      <w:r w:rsidRPr="00A2478D">
        <w:rPr>
          <w:rFonts w:ascii="David" w:hAnsi="David" w:cs="David"/>
          <w:sz w:val="20"/>
          <w:szCs w:val="20"/>
          <w:rtl/>
        </w:rPr>
        <w:t xml:space="preserve"> ה ע"א) הא עד דאתא יחזקאל מאן אמרה אלא דאורייתא ואתא יחזקאל ופירשה..</w:t>
      </w:r>
      <w:r w:rsidRPr="00A2478D">
        <w:rPr>
          <w:rFonts w:ascii="David" w:hAnsi="David" w:cs="David" w:hint="cs"/>
          <w:sz w:val="20"/>
          <w:szCs w:val="20"/>
          <w:rtl/>
        </w:rPr>
        <w:t>."</w:t>
      </w:r>
      <w:r w:rsidRPr="00A2478D">
        <w:rPr>
          <w:rFonts w:ascii="David" w:hAnsi="David" w:cs="David"/>
          <w:sz w:val="20"/>
          <w:szCs w:val="20"/>
          <w:rtl/>
        </w:rPr>
        <w:t>. וכך עולה מהראב"ד (הל</w:t>
      </w:r>
      <w:r w:rsidRPr="00A2478D">
        <w:rPr>
          <w:rFonts w:ascii="David" w:hAnsi="David" w:cs="David" w:hint="cs"/>
          <w:sz w:val="20"/>
          <w:szCs w:val="20"/>
          <w:rtl/>
        </w:rPr>
        <w:t>כות</w:t>
      </w:r>
      <w:r w:rsidRPr="00A2478D">
        <w:rPr>
          <w:rFonts w:ascii="David" w:hAnsi="David" w:cs="David"/>
          <w:sz w:val="20"/>
          <w:szCs w:val="20"/>
          <w:rtl/>
        </w:rPr>
        <w:t xml:space="preserve"> איסורי ביאה טז,</w:t>
      </w:r>
      <w:r w:rsidRPr="00A2478D">
        <w:rPr>
          <w:rFonts w:ascii="David" w:hAnsi="David" w:cs="David" w:hint="cs"/>
          <w:sz w:val="20"/>
          <w:szCs w:val="20"/>
          <w:rtl/>
        </w:rPr>
        <w:t xml:space="preserve"> </w:t>
      </w:r>
      <w:r w:rsidRPr="00A2478D">
        <w:rPr>
          <w:rFonts w:ascii="David" w:hAnsi="David" w:cs="David"/>
          <w:sz w:val="20"/>
          <w:szCs w:val="20"/>
          <w:rtl/>
        </w:rPr>
        <w:t>ב)</w:t>
      </w:r>
      <w:r w:rsidRPr="00A2478D">
        <w:rPr>
          <w:rFonts w:ascii="David" w:hAnsi="David" w:cs="David" w:hint="cs"/>
          <w:sz w:val="20"/>
          <w:szCs w:val="20"/>
          <w:rtl/>
        </w:rPr>
        <w:t>,</w:t>
      </w:r>
      <w:r w:rsidRPr="00A2478D">
        <w:rPr>
          <w:rFonts w:ascii="David" w:hAnsi="David" w:cs="David"/>
          <w:sz w:val="20"/>
          <w:szCs w:val="20"/>
          <w:rtl/>
        </w:rPr>
        <w:t xml:space="preserve"> שכתב במפורש</w:t>
      </w:r>
      <w:r w:rsidRPr="00A2478D">
        <w:rPr>
          <w:rFonts w:ascii="David" w:hAnsi="David" w:cs="David" w:hint="cs"/>
          <w:sz w:val="20"/>
          <w:szCs w:val="20"/>
          <w:rtl/>
        </w:rPr>
        <w:t>:</w:t>
      </w:r>
      <w:r w:rsidRPr="00A2478D">
        <w:rPr>
          <w:rFonts w:ascii="David" w:hAnsi="David" w:cs="David"/>
          <w:sz w:val="20"/>
          <w:szCs w:val="20"/>
          <w:rtl/>
        </w:rPr>
        <w:t xml:space="preserve"> "והלא גיורת לכהן איסורא דאוריתא היא". אמנם המנחת חינוך (מצ</w:t>
      </w:r>
      <w:r w:rsidRPr="00A2478D">
        <w:rPr>
          <w:rFonts w:ascii="David" w:hAnsi="David" w:cs="David" w:hint="cs"/>
          <w:sz w:val="20"/>
          <w:szCs w:val="20"/>
          <w:rtl/>
        </w:rPr>
        <w:t>ו</w:t>
      </w:r>
      <w:r w:rsidRPr="00A2478D">
        <w:rPr>
          <w:rFonts w:ascii="David" w:hAnsi="David" w:cs="David"/>
          <w:sz w:val="20"/>
          <w:szCs w:val="20"/>
          <w:rtl/>
        </w:rPr>
        <w:t>וה רסז) הבין בדעת הראב"ד שכיוון שמקור האיסור הוא מדברי קבלה מהפסוק ביחזקאל, איסור גיורת לכהן הוא רק מדרבנן (</w:t>
      </w:r>
      <w:r w:rsidRPr="00A2478D">
        <w:rPr>
          <w:rFonts w:ascii="David" w:hAnsi="David" w:cs="David" w:hint="cs"/>
          <w:sz w:val="20"/>
          <w:szCs w:val="20"/>
          <w:rtl/>
        </w:rPr>
        <w:t>והשווה ל</w:t>
      </w:r>
      <w:r w:rsidRPr="00A2478D">
        <w:rPr>
          <w:rFonts w:ascii="David" w:hAnsi="David" w:cs="David"/>
          <w:sz w:val="20"/>
          <w:szCs w:val="20"/>
          <w:rtl/>
        </w:rPr>
        <w:t>דבריו במצו</w:t>
      </w:r>
      <w:r w:rsidRPr="00A2478D">
        <w:rPr>
          <w:rFonts w:ascii="David" w:hAnsi="David" w:cs="David" w:hint="cs"/>
          <w:sz w:val="20"/>
          <w:szCs w:val="20"/>
          <w:rtl/>
        </w:rPr>
        <w:t>ו</w:t>
      </w:r>
      <w:r w:rsidRPr="00A2478D">
        <w:rPr>
          <w:rFonts w:ascii="David" w:hAnsi="David" w:cs="David"/>
          <w:sz w:val="20"/>
          <w:szCs w:val="20"/>
          <w:rtl/>
        </w:rPr>
        <w:t xml:space="preserve">ה רסו: "ולולא דברי הרב המגיד הייתי אומר דאדרבא שיטת רש"י כהראב"ד שם, דגיורת אינה בכלל זונה דקרא, רק הוא דברי קבלה, רק בזינתה בגיותה הוי זונה ואסורה מן התורה מטעם זונה"). והוסיף שאפשר שהוולד לא יהיה חלל אף מדרבנן, כיוון שהאיסור הוא חדש ולא מטעם 'זונה'. ודווקא לגבי חלוצה, שגזרו בה חכמים </w:t>
      </w:r>
      <w:r w:rsidRPr="00A2478D">
        <w:rPr>
          <w:rFonts w:ascii="David" w:hAnsi="David" w:cs="David" w:hint="cs"/>
          <w:sz w:val="20"/>
          <w:szCs w:val="20"/>
          <w:rtl/>
        </w:rPr>
        <w:t xml:space="preserve">משום </w:t>
      </w:r>
      <w:r w:rsidRPr="00A2478D">
        <w:rPr>
          <w:rFonts w:ascii="David" w:hAnsi="David" w:cs="David"/>
          <w:sz w:val="20"/>
          <w:szCs w:val="20"/>
          <w:rtl/>
        </w:rPr>
        <w:t xml:space="preserve">גרושה והשוו גזרתם לשל תורה ונחשבת לגרושה מדרבנן, רק שם הוולד ממנה 'חלל דרבנן'; אך לגבי גיורת, כיוון שהוא איסור חדש לא גזרו כלל שיתחללו הבנים, כיוון שאינו דומה כלל לאיסור תורה. אך סיים בצ"ע על סברתו זו ביחס לבנים. </w:t>
      </w:r>
    </w:p>
    <w:p w14:paraId="3DBFD96C"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3. לריטב"א (יבמות ס ע"ב ד"ה והא) הפסוק ביחזקאל הוא אסמכתא בלבד, וגיורת אסורה לכהן מדאורייתא משום זונה. וציין לרמב"ם (</w:t>
      </w:r>
      <w:r w:rsidRPr="00A2478D">
        <w:rPr>
          <w:rFonts w:ascii="David" w:hAnsi="David" w:cs="David" w:hint="cs"/>
          <w:sz w:val="20"/>
          <w:szCs w:val="20"/>
          <w:rtl/>
        </w:rPr>
        <w:t xml:space="preserve">הלכות </w:t>
      </w:r>
      <w:r w:rsidRPr="00A2478D">
        <w:rPr>
          <w:rFonts w:ascii="David" w:hAnsi="David" w:cs="David"/>
          <w:sz w:val="20"/>
          <w:szCs w:val="20"/>
          <w:rtl/>
        </w:rPr>
        <w:t>איסורי ביאה יח,</w:t>
      </w:r>
      <w:r w:rsidRPr="00A2478D">
        <w:rPr>
          <w:rFonts w:ascii="David" w:hAnsi="David" w:cs="David" w:hint="cs"/>
          <w:sz w:val="20"/>
          <w:szCs w:val="20"/>
          <w:rtl/>
        </w:rPr>
        <w:t xml:space="preserve"> </w:t>
      </w:r>
      <w:r w:rsidRPr="00A2478D">
        <w:rPr>
          <w:rFonts w:ascii="David" w:hAnsi="David" w:cs="David"/>
          <w:sz w:val="20"/>
          <w:szCs w:val="20"/>
          <w:rtl/>
        </w:rPr>
        <w:t xml:space="preserve">ג) שגיורת אפילו </w:t>
      </w:r>
      <w:r w:rsidRPr="00A2478D">
        <w:rPr>
          <w:rFonts w:ascii="David" w:hAnsi="David" w:cs="David" w:hint="cs"/>
          <w:sz w:val="20"/>
          <w:szCs w:val="20"/>
          <w:rtl/>
        </w:rPr>
        <w:t xml:space="preserve">בת </w:t>
      </w:r>
      <w:r w:rsidRPr="00A2478D">
        <w:rPr>
          <w:rFonts w:ascii="David" w:hAnsi="David" w:cs="David"/>
          <w:sz w:val="20"/>
          <w:szCs w:val="20"/>
          <w:rtl/>
        </w:rPr>
        <w:t>פחות מ</w:t>
      </w:r>
      <w:r w:rsidRPr="00A2478D">
        <w:rPr>
          <w:rFonts w:ascii="David" w:hAnsi="David" w:cs="David" w:hint="cs"/>
          <w:sz w:val="20"/>
          <w:szCs w:val="20"/>
          <w:rtl/>
        </w:rPr>
        <w:t>שלוש</w:t>
      </w:r>
      <w:r w:rsidRPr="00A2478D">
        <w:rPr>
          <w:rFonts w:ascii="David" w:hAnsi="David" w:cs="David"/>
          <w:sz w:val="20"/>
          <w:szCs w:val="20"/>
          <w:rtl/>
        </w:rPr>
        <w:t xml:space="preserve"> שנים אסורה משום זונה. הריטב"א (יבמות עו ע"א ד"ה הדר) כתב שלרמב"ם איסור גיורת הוא מדרבנן וכדלעיל; אך הריטב"א עצמו חלק על הרמב"ם וסבר שהאיסור מדאורייתא. </w:t>
      </w:r>
    </w:p>
    <w:p w14:paraId="0404DDED"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4. בתוס</w:t>
      </w:r>
      <w:r w:rsidRPr="00A2478D">
        <w:rPr>
          <w:rFonts w:ascii="David" w:hAnsi="David" w:cs="David" w:hint="cs"/>
          <w:sz w:val="20"/>
          <w:szCs w:val="20"/>
          <w:rtl/>
        </w:rPr>
        <w:t>פות</w:t>
      </w:r>
      <w:r w:rsidRPr="00A2478D">
        <w:rPr>
          <w:rFonts w:ascii="David" w:hAnsi="David" w:cs="David"/>
          <w:sz w:val="20"/>
          <w:szCs w:val="20"/>
          <w:rtl/>
        </w:rPr>
        <w:t xml:space="preserve"> (סנהדרין פב ע"א ד"ה ואידך) משמע שאיסור גיורת לכהן הוא איסור עשה וכמובא לעיל לאור הירושלמי (קידושין ד</w:t>
      </w:r>
      <w:r w:rsidRPr="00A2478D">
        <w:rPr>
          <w:rFonts w:ascii="David" w:hAnsi="David" w:cs="David" w:hint="cs"/>
          <w:sz w:val="20"/>
          <w:szCs w:val="20"/>
          <w:rtl/>
        </w:rPr>
        <w:t>,</w:t>
      </w:r>
      <w:r w:rsidRPr="00A2478D">
        <w:rPr>
          <w:rFonts w:ascii="David" w:hAnsi="David" w:cs="David"/>
          <w:sz w:val="20"/>
          <w:szCs w:val="20"/>
          <w:rtl/>
        </w:rPr>
        <w:t xml:space="preserve"> ו).</w:t>
      </w:r>
    </w:p>
    <w:p w14:paraId="49C290D5"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5. הב</w:t>
      </w:r>
      <w:r w:rsidRPr="00A2478D">
        <w:rPr>
          <w:rFonts w:ascii="David" w:hAnsi="David" w:cs="David" w:hint="cs"/>
          <w:sz w:val="20"/>
          <w:szCs w:val="20"/>
          <w:rtl/>
        </w:rPr>
        <w:t>ית שמואל</w:t>
      </w:r>
      <w:r w:rsidRPr="00A2478D">
        <w:rPr>
          <w:rFonts w:ascii="David" w:hAnsi="David" w:cs="David"/>
          <w:sz w:val="20"/>
          <w:szCs w:val="20"/>
          <w:rtl/>
        </w:rPr>
        <w:t xml:space="preserve"> (אבהע"ז סימן ו ס</w:t>
      </w:r>
      <w:r w:rsidRPr="00A2478D">
        <w:rPr>
          <w:rFonts w:ascii="David" w:hAnsi="David" w:cs="David" w:hint="cs"/>
          <w:sz w:val="20"/>
          <w:szCs w:val="20"/>
          <w:rtl/>
        </w:rPr>
        <w:t>"</w:t>
      </w:r>
      <w:r w:rsidRPr="00A2478D">
        <w:rPr>
          <w:rFonts w:ascii="David" w:hAnsi="David" w:cs="David"/>
          <w:sz w:val="20"/>
          <w:szCs w:val="20"/>
          <w:rtl/>
        </w:rPr>
        <w:t>ק כ) דייק בדעת רש"י (יבמות סא ע"א ד"ה אלא הגיורת</w:t>
      </w:r>
      <w:r w:rsidRPr="00A2478D">
        <w:rPr>
          <w:rFonts w:ascii="David" w:hAnsi="David" w:cs="David" w:hint="cs"/>
          <w:sz w:val="20"/>
          <w:szCs w:val="20"/>
          <w:rtl/>
        </w:rPr>
        <w:t>,</w:t>
      </w:r>
      <w:r w:rsidRPr="00A2478D">
        <w:rPr>
          <w:rFonts w:ascii="David" w:hAnsi="David" w:cs="David"/>
          <w:sz w:val="20"/>
          <w:szCs w:val="20"/>
          <w:rtl/>
        </w:rPr>
        <w:t xml:space="preserve"> ושם ע"ב ד"ה אלא גיורת) שאיסור גיורת לכהן הוא רק כשנבעלה לנכרי [וכך הבין ר"י אלגאזי (ארעא דרבנן מערכת אות הגימ"ל סימן לז) בדעת תוס</w:t>
      </w:r>
      <w:r w:rsidRPr="00A2478D">
        <w:rPr>
          <w:rFonts w:ascii="David" w:hAnsi="David" w:cs="David" w:hint="cs"/>
          <w:sz w:val="20"/>
          <w:szCs w:val="20"/>
          <w:rtl/>
        </w:rPr>
        <w:t>פות</w:t>
      </w:r>
      <w:r w:rsidRPr="00A2478D">
        <w:rPr>
          <w:rFonts w:ascii="David" w:hAnsi="David" w:cs="David"/>
          <w:sz w:val="20"/>
          <w:szCs w:val="20"/>
          <w:rtl/>
        </w:rPr>
        <w:t xml:space="preserve"> (יבמות סא ע"א ד"ה אין זונה); אך ביביע אומר (ח</w:t>
      </w:r>
      <w:r w:rsidRPr="00A2478D">
        <w:rPr>
          <w:rFonts w:ascii="David" w:hAnsi="David" w:cs="David" w:hint="cs"/>
          <w:sz w:val="20"/>
          <w:szCs w:val="20"/>
          <w:rtl/>
        </w:rPr>
        <w:t xml:space="preserve">לק </w:t>
      </w:r>
      <w:r w:rsidRPr="00A2478D">
        <w:rPr>
          <w:rFonts w:ascii="David" w:hAnsi="David" w:cs="David"/>
          <w:sz w:val="20"/>
          <w:szCs w:val="20"/>
          <w:rtl/>
        </w:rPr>
        <w:t>ב אבהע"ז סימן ג אותיות ב-ג) דחה הבנה זו בתוס</w:t>
      </w:r>
      <w:r w:rsidRPr="00A2478D">
        <w:rPr>
          <w:rFonts w:ascii="David" w:hAnsi="David" w:cs="David" w:hint="cs"/>
          <w:sz w:val="20"/>
          <w:szCs w:val="20"/>
          <w:rtl/>
        </w:rPr>
        <w:t>פות</w:t>
      </w:r>
      <w:r w:rsidRPr="00A2478D">
        <w:rPr>
          <w:rFonts w:ascii="David" w:hAnsi="David" w:cs="David"/>
          <w:sz w:val="20"/>
          <w:szCs w:val="20"/>
          <w:rtl/>
        </w:rPr>
        <w:t>]. אך הב</w:t>
      </w:r>
      <w:r w:rsidRPr="00A2478D">
        <w:rPr>
          <w:rFonts w:ascii="David" w:hAnsi="David" w:cs="David" w:hint="cs"/>
          <w:sz w:val="20"/>
          <w:szCs w:val="20"/>
          <w:rtl/>
        </w:rPr>
        <w:t>ית שמואל</w:t>
      </w:r>
      <w:r w:rsidRPr="00A2478D">
        <w:rPr>
          <w:rFonts w:ascii="David" w:hAnsi="David" w:cs="David"/>
          <w:sz w:val="20"/>
          <w:szCs w:val="20"/>
          <w:rtl/>
        </w:rPr>
        <w:t xml:space="preserve"> הנ"ל ציין שתוס</w:t>
      </w:r>
      <w:r w:rsidRPr="00A2478D">
        <w:rPr>
          <w:rFonts w:ascii="David" w:hAnsi="David" w:cs="David" w:hint="cs"/>
          <w:sz w:val="20"/>
          <w:szCs w:val="20"/>
          <w:rtl/>
        </w:rPr>
        <w:t>פות</w:t>
      </w:r>
      <w:r w:rsidRPr="00A2478D">
        <w:rPr>
          <w:rFonts w:ascii="David" w:hAnsi="David" w:cs="David"/>
          <w:sz w:val="20"/>
          <w:szCs w:val="20"/>
          <w:rtl/>
        </w:rPr>
        <w:t xml:space="preserve"> (כנראה התוס</w:t>
      </w:r>
      <w:r w:rsidRPr="00A2478D">
        <w:rPr>
          <w:rFonts w:ascii="David" w:hAnsi="David" w:cs="David" w:hint="cs"/>
          <w:sz w:val="20"/>
          <w:szCs w:val="20"/>
          <w:rtl/>
        </w:rPr>
        <w:t>פות</w:t>
      </w:r>
      <w:r w:rsidRPr="00A2478D">
        <w:rPr>
          <w:rFonts w:ascii="David" w:hAnsi="David" w:cs="David"/>
          <w:sz w:val="20"/>
          <w:szCs w:val="20"/>
          <w:rtl/>
        </w:rPr>
        <w:t xml:space="preserve"> הנ"ל), </w:t>
      </w:r>
      <w:r w:rsidRPr="00A2478D">
        <w:rPr>
          <w:rFonts w:ascii="David" w:hAnsi="David" w:cs="David" w:hint="cs"/>
          <w:sz w:val="20"/>
          <w:szCs w:val="20"/>
          <w:rtl/>
        </w:rPr>
        <w:t>ה</w:t>
      </w:r>
      <w:r w:rsidRPr="00A2478D">
        <w:rPr>
          <w:rFonts w:ascii="David" w:hAnsi="David" w:cs="David"/>
          <w:sz w:val="20"/>
          <w:szCs w:val="20"/>
          <w:rtl/>
        </w:rPr>
        <w:t>רמב"ם (הל</w:t>
      </w:r>
      <w:r w:rsidRPr="00A2478D">
        <w:rPr>
          <w:rFonts w:ascii="David" w:hAnsi="David" w:cs="David" w:hint="cs"/>
          <w:sz w:val="20"/>
          <w:szCs w:val="20"/>
          <w:rtl/>
        </w:rPr>
        <w:t>כות</w:t>
      </w:r>
      <w:r w:rsidRPr="00A2478D">
        <w:rPr>
          <w:rFonts w:ascii="David" w:hAnsi="David" w:cs="David"/>
          <w:sz w:val="20"/>
          <w:szCs w:val="20"/>
          <w:rtl/>
        </w:rPr>
        <w:t xml:space="preserve"> איסורי ביאה יח,</w:t>
      </w:r>
      <w:r w:rsidRPr="00A2478D">
        <w:rPr>
          <w:rFonts w:ascii="David" w:hAnsi="David" w:cs="David" w:hint="cs"/>
          <w:sz w:val="20"/>
          <w:szCs w:val="20"/>
          <w:rtl/>
        </w:rPr>
        <w:t xml:space="preserve"> </w:t>
      </w:r>
      <w:r w:rsidRPr="00A2478D">
        <w:rPr>
          <w:rFonts w:ascii="David" w:hAnsi="David" w:cs="David"/>
          <w:sz w:val="20"/>
          <w:szCs w:val="20"/>
          <w:rtl/>
        </w:rPr>
        <w:t>ג) ו</w:t>
      </w:r>
      <w:r w:rsidRPr="00A2478D">
        <w:rPr>
          <w:rFonts w:ascii="David" w:hAnsi="David" w:cs="David" w:hint="cs"/>
          <w:sz w:val="20"/>
          <w:szCs w:val="20"/>
          <w:rtl/>
        </w:rPr>
        <w:t>ה</w:t>
      </w:r>
      <w:r w:rsidRPr="00A2478D">
        <w:rPr>
          <w:rFonts w:ascii="David" w:hAnsi="David" w:cs="David"/>
          <w:sz w:val="20"/>
          <w:szCs w:val="20"/>
          <w:rtl/>
        </w:rPr>
        <w:t xml:space="preserve">רא"ש (יבמות ו,ו) סוברים שאפילו שהתגיירה </w:t>
      </w:r>
      <w:r w:rsidRPr="00A2478D">
        <w:rPr>
          <w:rFonts w:ascii="David" w:hAnsi="David" w:cs="David" w:hint="cs"/>
          <w:sz w:val="20"/>
          <w:szCs w:val="20"/>
          <w:rtl/>
        </w:rPr>
        <w:t xml:space="preserve">בת </w:t>
      </w:r>
      <w:r w:rsidRPr="00A2478D">
        <w:rPr>
          <w:rFonts w:ascii="David" w:hAnsi="David" w:cs="David"/>
          <w:sz w:val="20"/>
          <w:szCs w:val="20"/>
          <w:rtl/>
        </w:rPr>
        <w:t>פחות מ</w:t>
      </w:r>
      <w:r w:rsidRPr="00A2478D">
        <w:rPr>
          <w:rFonts w:ascii="David" w:hAnsi="David" w:cs="David" w:hint="cs"/>
          <w:sz w:val="20"/>
          <w:szCs w:val="20"/>
          <w:rtl/>
        </w:rPr>
        <w:t>שלוש</w:t>
      </w:r>
      <w:r w:rsidRPr="00A2478D">
        <w:rPr>
          <w:rFonts w:ascii="David" w:hAnsi="David" w:cs="David"/>
          <w:sz w:val="20"/>
          <w:szCs w:val="20"/>
          <w:rtl/>
        </w:rPr>
        <w:t xml:space="preserve"> שנים ואפילו יודעים שלא נבעלה לגוי, היא אסורה לכהן, וכמסקנת הגמרא (יבמות ס ע"ב) שאין הלכה כרבי שמעון בן יוחאי. </w:t>
      </w:r>
    </w:p>
    <w:p w14:paraId="483B1D03"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6. התוס</w:t>
      </w:r>
      <w:r w:rsidRPr="00A2478D">
        <w:rPr>
          <w:rFonts w:ascii="David" w:hAnsi="David" w:cs="David" w:hint="cs"/>
          <w:sz w:val="20"/>
          <w:szCs w:val="20"/>
          <w:rtl/>
        </w:rPr>
        <w:t>פות</w:t>
      </w:r>
      <w:r w:rsidRPr="00A2478D">
        <w:rPr>
          <w:rFonts w:ascii="David" w:hAnsi="David" w:cs="David"/>
          <w:sz w:val="20"/>
          <w:szCs w:val="20"/>
          <w:rtl/>
        </w:rPr>
        <w:t xml:space="preserve"> (נדרים צ ע"ב ד"ה חזרו לומר) </w:t>
      </w:r>
      <w:r w:rsidRPr="00A2478D">
        <w:rPr>
          <w:rFonts w:ascii="David" w:hAnsi="David" w:cs="David" w:hint="cs"/>
          <w:sz w:val="20"/>
          <w:szCs w:val="20"/>
          <w:rtl/>
        </w:rPr>
        <w:t xml:space="preserve">הביאו </w:t>
      </w:r>
      <w:r w:rsidRPr="00A2478D">
        <w:rPr>
          <w:rFonts w:ascii="David" w:hAnsi="David" w:cs="David"/>
          <w:sz w:val="20"/>
          <w:szCs w:val="20"/>
          <w:rtl/>
        </w:rPr>
        <w:t>את דעת רבי אליעזר ממיץ שרק הכהן עצמו מוזהר על הזונה, אך הא</w:t>
      </w:r>
      <w:r w:rsidRPr="00A2478D">
        <w:rPr>
          <w:rFonts w:ascii="David" w:hAnsi="David" w:cs="David" w:hint="cs"/>
          <w:sz w:val="20"/>
          <w:szCs w:val="20"/>
          <w:rtl/>
        </w:rPr>
        <w:t>י</w:t>
      </w:r>
      <w:r w:rsidRPr="00A2478D">
        <w:rPr>
          <w:rFonts w:ascii="David" w:hAnsi="David" w:cs="David"/>
          <w:sz w:val="20"/>
          <w:szCs w:val="20"/>
          <w:rtl/>
        </w:rPr>
        <w:t>שה אינה מוזהרת עליו. התוס</w:t>
      </w:r>
      <w:r w:rsidRPr="00A2478D">
        <w:rPr>
          <w:rFonts w:ascii="David" w:hAnsi="David" w:cs="David" w:hint="cs"/>
          <w:sz w:val="20"/>
          <w:szCs w:val="20"/>
          <w:rtl/>
        </w:rPr>
        <w:t>פות</w:t>
      </w:r>
      <w:r w:rsidRPr="00A2478D">
        <w:rPr>
          <w:rFonts w:ascii="David" w:hAnsi="David" w:cs="David"/>
          <w:sz w:val="20"/>
          <w:szCs w:val="20"/>
          <w:rtl/>
        </w:rPr>
        <w:t xml:space="preserve"> דחו שיטה זו לאור הגמ</w:t>
      </w:r>
      <w:r w:rsidRPr="00A2478D">
        <w:rPr>
          <w:rFonts w:ascii="David" w:hAnsi="David" w:cs="David" w:hint="cs"/>
          <w:sz w:val="20"/>
          <w:szCs w:val="20"/>
          <w:rtl/>
        </w:rPr>
        <w:t>רא</w:t>
      </w:r>
      <w:r w:rsidRPr="00A2478D">
        <w:rPr>
          <w:rFonts w:ascii="David" w:hAnsi="David" w:cs="David"/>
          <w:sz w:val="20"/>
          <w:szCs w:val="20"/>
          <w:rtl/>
        </w:rPr>
        <w:t xml:space="preserve"> (יבמות פד ע"ב) האומרת שכל מקום שהוא מוזהר </w:t>
      </w:r>
      <w:r w:rsidRPr="00A2478D">
        <w:rPr>
          <w:rFonts w:ascii="David" w:hAnsi="David" w:cs="David" w:hint="cs"/>
          <w:sz w:val="20"/>
          <w:szCs w:val="20"/>
          <w:rtl/>
        </w:rPr>
        <w:t xml:space="preserve">– </w:t>
      </w:r>
      <w:r w:rsidRPr="00A2478D">
        <w:rPr>
          <w:rFonts w:ascii="David" w:hAnsi="David" w:cs="David"/>
          <w:sz w:val="20"/>
          <w:szCs w:val="20"/>
          <w:rtl/>
        </w:rPr>
        <w:t>אף היא מוזהרת, ו</w:t>
      </w:r>
      <w:r w:rsidRPr="00A2478D">
        <w:rPr>
          <w:rFonts w:ascii="David" w:hAnsi="David" w:cs="David" w:hint="cs"/>
          <w:sz w:val="20"/>
          <w:szCs w:val="20"/>
          <w:rtl/>
        </w:rPr>
        <w:t xml:space="preserve">למדו </w:t>
      </w:r>
      <w:r w:rsidRPr="00A2478D">
        <w:rPr>
          <w:rFonts w:ascii="David" w:hAnsi="David" w:cs="David"/>
          <w:sz w:val="20"/>
          <w:szCs w:val="20"/>
          <w:rtl/>
        </w:rPr>
        <w:t>זאת מהפסוק "איש או אשה כי יעשו מכל חטאות האדם" (במדבר ה,</w:t>
      </w:r>
      <w:r w:rsidRPr="00A2478D">
        <w:rPr>
          <w:rFonts w:ascii="David" w:hAnsi="David" w:cs="David" w:hint="cs"/>
          <w:sz w:val="20"/>
          <w:szCs w:val="20"/>
          <w:rtl/>
        </w:rPr>
        <w:t xml:space="preserve"> </w:t>
      </w:r>
      <w:r w:rsidRPr="00A2478D">
        <w:rPr>
          <w:rFonts w:ascii="David" w:hAnsi="David" w:cs="David"/>
          <w:sz w:val="20"/>
          <w:szCs w:val="20"/>
          <w:rtl/>
        </w:rPr>
        <w:t>ו), השו</w:t>
      </w:r>
      <w:r w:rsidRPr="00A2478D">
        <w:rPr>
          <w:rFonts w:ascii="David" w:hAnsi="David" w:cs="David" w:hint="cs"/>
          <w:sz w:val="20"/>
          <w:szCs w:val="20"/>
          <w:rtl/>
        </w:rPr>
        <w:t>ו</w:t>
      </w:r>
      <w:r w:rsidRPr="00A2478D">
        <w:rPr>
          <w:rFonts w:ascii="David" w:hAnsi="David" w:cs="David"/>
          <w:sz w:val="20"/>
          <w:szCs w:val="20"/>
          <w:rtl/>
        </w:rPr>
        <w:t>ה הכתוב א</w:t>
      </w:r>
      <w:r w:rsidRPr="00A2478D">
        <w:rPr>
          <w:rFonts w:ascii="David" w:hAnsi="David" w:cs="David" w:hint="cs"/>
          <w:sz w:val="20"/>
          <w:szCs w:val="20"/>
          <w:rtl/>
        </w:rPr>
        <w:t>י</w:t>
      </w:r>
      <w:r w:rsidRPr="00A2478D">
        <w:rPr>
          <w:rFonts w:ascii="David" w:hAnsi="David" w:cs="David"/>
          <w:sz w:val="20"/>
          <w:szCs w:val="20"/>
          <w:rtl/>
        </w:rPr>
        <w:t>שה לאיש לכל עונשין שבתורה. הרב גורן (הובאו דבריו בתחומין כרך כג עמ' 183) ב</w:t>
      </w:r>
      <w:r w:rsidRPr="00A2478D">
        <w:rPr>
          <w:rFonts w:ascii="David" w:hAnsi="David" w:cs="David" w:hint="cs"/>
          <w:sz w:val="20"/>
          <w:szCs w:val="20"/>
          <w:rtl/>
        </w:rPr>
        <w:t>י</w:t>
      </w:r>
      <w:r w:rsidRPr="00A2478D">
        <w:rPr>
          <w:rFonts w:ascii="David" w:hAnsi="David" w:cs="David"/>
          <w:sz w:val="20"/>
          <w:szCs w:val="20"/>
          <w:rtl/>
        </w:rPr>
        <w:t xml:space="preserve">אר את שיטת הר"א ממיץ, שרק במקרה שקידש ובעל </w:t>
      </w:r>
      <w:r w:rsidRPr="00A2478D">
        <w:rPr>
          <w:rFonts w:ascii="David" w:hAnsi="David" w:cs="David" w:hint="cs"/>
          <w:sz w:val="20"/>
          <w:szCs w:val="20"/>
          <w:rtl/>
        </w:rPr>
        <w:t xml:space="preserve">– </w:t>
      </w:r>
      <w:r w:rsidRPr="00A2478D">
        <w:rPr>
          <w:rFonts w:ascii="David" w:hAnsi="David" w:cs="David"/>
          <w:sz w:val="20"/>
          <w:szCs w:val="20"/>
          <w:rtl/>
        </w:rPr>
        <w:t>לוקים שניהם, הואיל ובקידושין שניהם משותפים</w:t>
      </w:r>
      <w:r w:rsidRPr="00A2478D">
        <w:rPr>
          <w:rFonts w:ascii="David" w:hAnsi="David" w:cs="David" w:hint="cs"/>
          <w:sz w:val="20"/>
          <w:szCs w:val="20"/>
          <w:rtl/>
        </w:rPr>
        <w:t>,</w:t>
      </w:r>
      <w:r w:rsidRPr="00A2478D">
        <w:rPr>
          <w:rFonts w:ascii="David" w:hAnsi="David" w:cs="David"/>
          <w:sz w:val="20"/>
          <w:szCs w:val="20"/>
          <w:rtl/>
        </w:rPr>
        <w:t xml:space="preserve"> ולכן שניהם מוזהרים</w:t>
      </w:r>
      <w:r w:rsidRPr="00A2478D">
        <w:rPr>
          <w:rFonts w:ascii="David" w:hAnsi="David" w:cs="David" w:hint="cs"/>
          <w:sz w:val="20"/>
          <w:szCs w:val="20"/>
          <w:rtl/>
        </w:rPr>
        <w:t>;</w:t>
      </w:r>
      <w:r w:rsidRPr="00A2478D">
        <w:rPr>
          <w:rFonts w:ascii="David" w:hAnsi="David" w:cs="David"/>
          <w:sz w:val="20"/>
          <w:szCs w:val="20"/>
          <w:rtl/>
        </w:rPr>
        <w:t xml:space="preserve"> אך </w:t>
      </w:r>
      <w:r w:rsidRPr="00A2478D">
        <w:rPr>
          <w:rFonts w:ascii="David" w:hAnsi="David" w:cs="David" w:hint="cs"/>
          <w:sz w:val="20"/>
          <w:szCs w:val="20"/>
          <w:rtl/>
        </w:rPr>
        <w:t xml:space="preserve">אם </w:t>
      </w:r>
      <w:r w:rsidRPr="00A2478D">
        <w:rPr>
          <w:rFonts w:ascii="David" w:hAnsi="David" w:cs="David"/>
          <w:sz w:val="20"/>
          <w:szCs w:val="20"/>
          <w:rtl/>
        </w:rPr>
        <w:t>נעשתה זונה אחרי הנישואין, כמו במקרה של הגמ</w:t>
      </w:r>
      <w:r w:rsidRPr="00A2478D">
        <w:rPr>
          <w:rFonts w:ascii="David" w:hAnsi="David" w:cs="David" w:hint="cs"/>
          <w:sz w:val="20"/>
          <w:szCs w:val="20"/>
          <w:rtl/>
        </w:rPr>
        <w:t>רא</w:t>
      </w:r>
      <w:r w:rsidRPr="00A2478D">
        <w:rPr>
          <w:rFonts w:ascii="David" w:hAnsi="David" w:cs="David"/>
          <w:sz w:val="20"/>
          <w:szCs w:val="20"/>
          <w:rtl/>
        </w:rPr>
        <w:t xml:space="preserve"> בנדרים (שם) שאומרת 'טמאה אני לך', סבר ר"א ממיץ שאין עליה איסור תורה.</w:t>
      </w:r>
    </w:p>
    <w:p w14:paraId="1ED4C991" w14:textId="77777777" w:rsidR="00107074" w:rsidRPr="00A2478D" w:rsidRDefault="00107074" w:rsidP="00306BB3">
      <w:pPr>
        <w:ind w:left="140"/>
        <w:jc w:val="both"/>
        <w:rPr>
          <w:rFonts w:ascii="David" w:hAnsi="David" w:cs="David"/>
          <w:sz w:val="20"/>
          <w:szCs w:val="20"/>
          <w:rtl/>
        </w:rPr>
      </w:pPr>
      <w:r w:rsidRPr="00A2478D">
        <w:rPr>
          <w:rFonts w:ascii="David" w:hAnsi="David" w:cs="David" w:hint="cs"/>
          <w:sz w:val="20"/>
          <w:szCs w:val="20"/>
          <w:rtl/>
        </w:rPr>
        <w:t>עתה נציג את ה</w:t>
      </w:r>
      <w:r w:rsidRPr="00A2478D">
        <w:rPr>
          <w:rFonts w:ascii="David" w:hAnsi="David" w:cs="David"/>
          <w:sz w:val="20"/>
          <w:szCs w:val="20"/>
          <w:rtl/>
        </w:rPr>
        <w:t>נפקא מינ</w:t>
      </w:r>
      <w:r w:rsidRPr="00A2478D">
        <w:rPr>
          <w:rFonts w:ascii="David" w:hAnsi="David" w:cs="David" w:hint="cs"/>
          <w:sz w:val="20"/>
          <w:szCs w:val="20"/>
          <w:rtl/>
        </w:rPr>
        <w:t>ות</w:t>
      </w:r>
      <w:r w:rsidRPr="00A2478D">
        <w:rPr>
          <w:rFonts w:ascii="David" w:hAnsi="David" w:cs="David"/>
          <w:sz w:val="20"/>
          <w:szCs w:val="20"/>
          <w:rtl/>
        </w:rPr>
        <w:t xml:space="preserve"> ממחלוקת זו</w:t>
      </w:r>
      <w:r w:rsidRPr="00A2478D">
        <w:rPr>
          <w:rFonts w:ascii="David" w:hAnsi="David" w:cs="David" w:hint="cs"/>
          <w:sz w:val="20"/>
          <w:szCs w:val="20"/>
          <w:rtl/>
        </w:rPr>
        <w:t>,</w:t>
      </w:r>
      <w:r w:rsidRPr="00A2478D">
        <w:rPr>
          <w:rFonts w:ascii="David" w:hAnsi="David" w:cs="David"/>
          <w:sz w:val="20"/>
          <w:szCs w:val="20"/>
          <w:rtl/>
        </w:rPr>
        <w:t xml:space="preserve"> אם איסור גיורת לכהן הוא מדאורייתא או מדרבנן: </w:t>
      </w:r>
    </w:p>
    <w:p w14:paraId="64459278"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א. האם הבנים שייולדו מזיווג כזה יהיו חללים מדאורי</w:t>
      </w:r>
      <w:r w:rsidRPr="00A2478D">
        <w:rPr>
          <w:rFonts w:ascii="David" w:hAnsi="David" w:cs="David" w:hint="cs"/>
          <w:sz w:val="20"/>
          <w:szCs w:val="20"/>
          <w:rtl/>
        </w:rPr>
        <w:t>י</w:t>
      </w:r>
      <w:r w:rsidRPr="00A2478D">
        <w:rPr>
          <w:rFonts w:ascii="David" w:hAnsi="David" w:cs="David"/>
          <w:sz w:val="20"/>
          <w:szCs w:val="20"/>
          <w:rtl/>
        </w:rPr>
        <w:t>תא או מדרבנן. חלל דאורי</w:t>
      </w:r>
      <w:r w:rsidRPr="00A2478D">
        <w:rPr>
          <w:rFonts w:ascii="David" w:hAnsi="David" w:cs="David" w:hint="cs"/>
          <w:sz w:val="20"/>
          <w:szCs w:val="20"/>
          <w:rtl/>
        </w:rPr>
        <w:t>י</w:t>
      </w:r>
      <w:r w:rsidRPr="00A2478D">
        <w:rPr>
          <w:rFonts w:ascii="David" w:hAnsi="David" w:cs="David"/>
          <w:sz w:val="20"/>
          <w:szCs w:val="20"/>
          <w:rtl/>
        </w:rPr>
        <w:t>תא אינו כהן כלל, אך חלל דרבנן הוא כהן מדאור</w:t>
      </w:r>
      <w:r w:rsidRPr="00A2478D">
        <w:rPr>
          <w:rFonts w:ascii="David" w:hAnsi="David" w:cs="David" w:hint="cs"/>
          <w:sz w:val="20"/>
          <w:szCs w:val="20"/>
          <w:rtl/>
        </w:rPr>
        <w:t>י</w:t>
      </w:r>
      <w:r w:rsidRPr="00A2478D">
        <w:rPr>
          <w:rFonts w:ascii="David" w:hAnsi="David" w:cs="David"/>
          <w:sz w:val="20"/>
          <w:szCs w:val="20"/>
          <w:rtl/>
        </w:rPr>
        <w:t>יתא, ולכן אינו אוכל בתרומה (כחלל), אך עדיין אסור לו להיטמא למתים וצריך לשאת רק א</w:t>
      </w:r>
      <w:r w:rsidRPr="00A2478D">
        <w:rPr>
          <w:rFonts w:ascii="David" w:hAnsi="David" w:cs="David" w:hint="cs"/>
          <w:sz w:val="20"/>
          <w:szCs w:val="20"/>
          <w:rtl/>
        </w:rPr>
        <w:t>י</w:t>
      </w:r>
      <w:r w:rsidRPr="00A2478D">
        <w:rPr>
          <w:rFonts w:ascii="David" w:hAnsi="David" w:cs="David"/>
          <w:sz w:val="20"/>
          <w:szCs w:val="20"/>
          <w:rtl/>
        </w:rPr>
        <w:t xml:space="preserve">שה הראויה לכהן (רמב"ם </w:t>
      </w:r>
      <w:r w:rsidRPr="00A2478D">
        <w:rPr>
          <w:rFonts w:ascii="David" w:hAnsi="David" w:cs="David" w:hint="cs"/>
          <w:sz w:val="20"/>
          <w:szCs w:val="20"/>
          <w:rtl/>
        </w:rPr>
        <w:t xml:space="preserve">הלכות </w:t>
      </w:r>
      <w:r w:rsidRPr="00A2478D">
        <w:rPr>
          <w:rFonts w:ascii="David" w:hAnsi="David" w:cs="David"/>
          <w:sz w:val="20"/>
          <w:szCs w:val="20"/>
          <w:rtl/>
        </w:rPr>
        <w:t>איסורי ביאה יט,</w:t>
      </w:r>
      <w:r w:rsidRPr="00A2478D">
        <w:rPr>
          <w:rFonts w:ascii="David" w:hAnsi="David" w:cs="David" w:hint="cs"/>
          <w:sz w:val="20"/>
          <w:szCs w:val="20"/>
          <w:rtl/>
        </w:rPr>
        <w:t xml:space="preserve"> </w:t>
      </w:r>
      <w:r w:rsidRPr="00A2478D">
        <w:rPr>
          <w:rFonts w:ascii="David" w:hAnsi="David" w:cs="David"/>
          <w:sz w:val="20"/>
          <w:szCs w:val="20"/>
          <w:rtl/>
        </w:rPr>
        <w:t>י; שלחן ערוך אבהע"ז ז,</w:t>
      </w:r>
      <w:r w:rsidRPr="00A2478D">
        <w:rPr>
          <w:rFonts w:ascii="David" w:hAnsi="David" w:cs="David" w:hint="cs"/>
          <w:sz w:val="20"/>
          <w:szCs w:val="20"/>
          <w:rtl/>
        </w:rPr>
        <w:t xml:space="preserve"> </w:t>
      </w:r>
      <w:r w:rsidRPr="00A2478D">
        <w:rPr>
          <w:rFonts w:ascii="David" w:hAnsi="David" w:cs="David"/>
          <w:sz w:val="20"/>
          <w:szCs w:val="20"/>
          <w:rtl/>
        </w:rPr>
        <w:t xml:space="preserve">כ), ואינו נושא את כפיו (משנה ברורה סימן קכח ס"ק קנו). </w:t>
      </w:r>
    </w:p>
    <w:p w14:paraId="5C10FAC8" w14:textId="77777777" w:rsidR="00107074" w:rsidRPr="00A2478D" w:rsidRDefault="00107074" w:rsidP="00306BB3">
      <w:pPr>
        <w:ind w:left="140"/>
        <w:jc w:val="both"/>
        <w:rPr>
          <w:rFonts w:ascii="David" w:hAnsi="David" w:cs="David"/>
          <w:sz w:val="20"/>
          <w:szCs w:val="20"/>
          <w:rtl/>
        </w:rPr>
      </w:pPr>
      <w:r w:rsidRPr="00A2478D">
        <w:rPr>
          <w:rFonts w:ascii="David" w:hAnsi="David" w:cs="David"/>
          <w:sz w:val="20"/>
          <w:szCs w:val="20"/>
          <w:rtl/>
        </w:rPr>
        <w:t>ב. כשיש ספק אם הא</w:t>
      </w:r>
      <w:r w:rsidRPr="00A2478D">
        <w:rPr>
          <w:rFonts w:ascii="David" w:hAnsi="David" w:cs="David" w:hint="cs"/>
          <w:sz w:val="20"/>
          <w:szCs w:val="20"/>
          <w:rtl/>
        </w:rPr>
        <w:t>י</w:t>
      </w:r>
      <w:r w:rsidRPr="00A2478D">
        <w:rPr>
          <w:rFonts w:ascii="David" w:hAnsi="David" w:cs="David"/>
          <w:sz w:val="20"/>
          <w:szCs w:val="20"/>
          <w:rtl/>
        </w:rPr>
        <w:t xml:space="preserve">שה גיורת. אם נאמר שהאיסור הוא רק מדרבנן, יהיה מקום להקל; </w:t>
      </w:r>
      <w:r w:rsidRPr="00A2478D">
        <w:rPr>
          <w:rFonts w:ascii="David" w:hAnsi="David" w:cs="David" w:hint="cs"/>
          <w:sz w:val="20"/>
          <w:szCs w:val="20"/>
          <w:rtl/>
        </w:rPr>
        <w:t xml:space="preserve">ראו </w:t>
      </w:r>
      <w:r w:rsidRPr="00A2478D">
        <w:rPr>
          <w:rFonts w:ascii="David" w:hAnsi="David" w:cs="David"/>
          <w:sz w:val="20"/>
          <w:szCs w:val="20"/>
          <w:rtl/>
        </w:rPr>
        <w:t>יביע אומר ח</w:t>
      </w:r>
      <w:r w:rsidRPr="00A2478D">
        <w:rPr>
          <w:rFonts w:ascii="David" w:hAnsi="David" w:cs="David" w:hint="cs"/>
          <w:sz w:val="20"/>
          <w:szCs w:val="20"/>
          <w:rtl/>
        </w:rPr>
        <w:t xml:space="preserve">לק </w:t>
      </w:r>
      <w:r w:rsidRPr="00A2478D">
        <w:rPr>
          <w:rFonts w:ascii="David" w:hAnsi="David" w:cs="David"/>
          <w:sz w:val="20"/>
          <w:szCs w:val="20"/>
          <w:rtl/>
        </w:rPr>
        <w:t>ז אבהע"ז סימן יא; והיכל יצחק אבהע"ז חלק א סימן יז, הובא לקמן הערה 5.</w:t>
      </w:r>
    </w:p>
  </w:endnote>
  <w:endnote w:id="2">
    <w:p w14:paraId="1271A7CC" w14:textId="66ACD3F5" w:rsidR="00107074" w:rsidRPr="00A2478D" w:rsidRDefault="00107074" w:rsidP="00306BB3">
      <w:pPr>
        <w:tabs>
          <w:tab w:val="left" w:pos="140"/>
        </w:tabs>
        <w:ind w:left="140" w:hanging="142"/>
        <w:jc w:val="both"/>
        <w:rPr>
          <w:rFonts w:ascii="David" w:hAnsi="David" w:cs="David"/>
          <w:sz w:val="20"/>
          <w:szCs w:val="20"/>
          <w:rtl/>
        </w:rPr>
      </w:pPr>
      <w:r w:rsidRPr="00A2478D">
        <w:rPr>
          <w:rStyle w:val="af"/>
          <w:rFonts w:ascii="David" w:hAnsi="David" w:cs="David"/>
          <w:sz w:val="20"/>
          <w:szCs w:val="20"/>
        </w:rPr>
        <w:endnoteRef/>
      </w:r>
      <w:r w:rsidRPr="00A2478D">
        <w:rPr>
          <w:rFonts w:ascii="David" w:hAnsi="David" w:cs="David"/>
          <w:sz w:val="20"/>
          <w:szCs w:val="20"/>
          <w:rtl/>
        </w:rPr>
        <w:t xml:space="preserve"> </w:t>
      </w:r>
      <w:r w:rsidR="00306BB3">
        <w:rPr>
          <w:rFonts w:ascii="David" w:hAnsi="David" w:cs="David"/>
          <w:sz w:val="20"/>
          <w:szCs w:val="20"/>
          <w:rtl/>
        </w:rPr>
        <w:tab/>
      </w:r>
      <w:r w:rsidRPr="00A2478D">
        <w:rPr>
          <w:rFonts w:ascii="David" w:hAnsi="David" w:cs="David"/>
          <w:sz w:val="20"/>
          <w:szCs w:val="20"/>
          <w:rtl/>
        </w:rPr>
        <w:t>המהרש"ל (ים של שלמה ב</w:t>
      </w:r>
      <w:r w:rsidRPr="00A2478D">
        <w:rPr>
          <w:rFonts w:ascii="David" w:hAnsi="David" w:cs="David" w:hint="cs"/>
          <w:sz w:val="20"/>
          <w:szCs w:val="20"/>
          <w:rtl/>
        </w:rPr>
        <w:t>בא קמא</w:t>
      </w:r>
      <w:r w:rsidRPr="00A2478D">
        <w:rPr>
          <w:rFonts w:ascii="David" w:hAnsi="David" w:cs="David"/>
          <w:sz w:val="20"/>
          <w:szCs w:val="20"/>
          <w:rtl/>
        </w:rPr>
        <w:t xml:space="preserve"> ה,</w:t>
      </w:r>
      <w:r w:rsidRPr="00A2478D">
        <w:rPr>
          <w:rFonts w:ascii="David" w:hAnsi="David" w:cs="David" w:hint="cs"/>
          <w:sz w:val="20"/>
          <w:szCs w:val="20"/>
          <w:rtl/>
        </w:rPr>
        <w:t xml:space="preserve"> </w:t>
      </w:r>
      <w:r w:rsidRPr="00A2478D">
        <w:rPr>
          <w:rFonts w:ascii="David" w:hAnsi="David" w:cs="David"/>
          <w:sz w:val="20"/>
          <w:szCs w:val="20"/>
          <w:rtl/>
        </w:rPr>
        <w:t>לה) כתב</w:t>
      </w:r>
      <w:r w:rsidRPr="00A2478D">
        <w:rPr>
          <w:rFonts w:ascii="David" w:hAnsi="David" w:cs="David" w:hint="cs"/>
          <w:sz w:val="20"/>
          <w:szCs w:val="20"/>
          <w:rtl/>
        </w:rPr>
        <w:t>:</w:t>
      </w:r>
      <w:r w:rsidRPr="00A2478D">
        <w:rPr>
          <w:rFonts w:ascii="David" w:hAnsi="David" w:cs="David"/>
          <w:sz w:val="20"/>
          <w:szCs w:val="20"/>
          <w:rtl/>
        </w:rPr>
        <w:t xml:space="preserve"> "בעו"ה [=בעוונותינו הרבים] אין לנו היחוס כמו שהיה בזמן הבית, או אפילו אחר החורבן, בימי התנאים והאמוראים... ובעונותינו מרוב אריכות הגלות וגזירות וגירושים נתבלבלו. והלואי שלא יהא נתבלבל זרע קדש בחול. אבל זרע כהנים ולוים קרוב לודאי שנתבלבלו... ומשום הכי ג"כ נהגו האידנא שלא ליתן החלה אף לכהן קטן, או לכהן שטבל לקירויו, משום דלא מחזיקנן בזמן הזה לכהן ודאי. וכן כתב זקן מורה הוראה מהררי"ו..</w:t>
      </w:r>
      <w:r w:rsidRPr="00A2478D">
        <w:rPr>
          <w:rFonts w:ascii="David" w:hAnsi="David" w:cs="David" w:hint="cs"/>
          <w:sz w:val="20"/>
          <w:szCs w:val="20"/>
          <w:rtl/>
        </w:rPr>
        <w:t>."</w:t>
      </w:r>
      <w:r w:rsidRPr="00A2478D">
        <w:rPr>
          <w:rFonts w:ascii="David" w:hAnsi="David" w:cs="David"/>
          <w:sz w:val="20"/>
          <w:szCs w:val="20"/>
          <w:rtl/>
        </w:rPr>
        <w:t>. וכן בשו"ת מהרשד"ם (אבהע"ז סימן רלה) כתב</w:t>
      </w:r>
      <w:r w:rsidRPr="00A2478D">
        <w:rPr>
          <w:rFonts w:ascii="David" w:hAnsi="David" w:cs="David" w:hint="cs"/>
          <w:sz w:val="20"/>
          <w:szCs w:val="20"/>
          <w:rtl/>
        </w:rPr>
        <w:t>:</w:t>
      </w:r>
      <w:r w:rsidRPr="00A2478D">
        <w:rPr>
          <w:rFonts w:ascii="David" w:hAnsi="David" w:cs="David"/>
          <w:sz w:val="20"/>
          <w:szCs w:val="20"/>
          <w:rtl/>
        </w:rPr>
        <w:t xml:space="preserve"> "אני סומך בזה עמ"ש הריב"ש בסימן צ"ד וז"ל, כ"ש כהנים שבדורינו שאין להם כתב היחס אלא מפני חזקתן נהגו היום לקרא א' בתורה כו' יע"ש הרי שכהני' בזמננו אינם כהנים ודאי... שהכהנים בזמ"ה [=בזמן הזה] שעולים א' לקרא בתור' אינו אלא מנהג בעלמא שהרי אין להם ספר היחס, שמעת מינה שאינם כהני' ודאי אלא ס' [=ספק]". ועל סמך דבריו פסק השבות יעקב (ח</w:t>
      </w:r>
      <w:r w:rsidRPr="00A2478D">
        <w:rPr>
          <w:rFonts w:ascii="David" w:hAnsi="David" w:cs="David" w:hint="cs"/>
          <w:sz w:val="20"/>
          <w:szCs w:val="20"/>
          <w:rtl/>
        </w:rPr>
        <w:t xml:space="preserve">לק </w:t>
      </w:r>
      <w:r w:rsidRPr="00A2478D">
        <w:rPr>
          <w:rFonts w:ascii="David" w:hAnsi="David" w:cs="David"/>
          <w:sz w:val="20"/>
          <w:szCs w:val="20"/>
          <w:rtl/>
        </w:rPr>
        <w:t>א ס</w:t>
      </w:r>
      <w:r w:rsidRPr="00A2478D">
        <w:rPr>
          <w:rFonts w:ascii="David" w:hAnsi="David" w:cs="David" w:hint="cs"/>
          <w:sz w:val="20"/>
          <w:szCs w:val="20"/>
          <w:rtl/>
        </w:rPr>
        <w:t>ימן</w:t>
      </w:r>
      <w:r w:rsidRPr="00A2478D">
        <w:rPr>
          <w:rFonts w:ascii="David" w:hAnsi="David" w:cs="David"/>
          <w:sz w:val="20"/>
          <w:szCs w:val="20"/>
          <w:rtl/>
        </w:rPr>
        <w:t xml:space="preserve"> צג) במקרה של </w:t>
      </w:r>
      <w:r w:rsidRPr="00A2478D">
        <w:rPr>
          <w:rFonts w:ascii="David" w:hAnsi="David" w:cs="David" w:hint="cs"/>
          <w:sz w:val="20"/>
          <w:szCs w:val="20"/>
          <w:rtl/>
        </w:rPr>
        <w:t>אדם</w:t>
      </w:r>
      <w:r w:rsidRPr="00A2478D">
        <w:rPr>
          <w:rFonts w:ascii="David" w:hAnsi="David" w:cs="David"/>
          <w:sz w:val="20"/>
          <w:szCs w:val="20"/>
          <w:rtl/>
        </w:rPr>
        <w:t xml:space="preserve"> שהוחזק ככהן ונשא חלוצה, ש</w:t>
      </w:r>
      <w:r w:rsidRPr="00A2478D">
        <w:rPr>
          <w:rFonts w:ascii="David" w:hAnsi="David" w:cs="David" w:hint="cs"/>
          <w:sz w:val="20"/>
          <w:szCs w:val="20"/>
          <w:rtl/>
        </w:rPr>
        <w:t>אין</w:t>
      </w:r>
      <w:r w:rsidRPr="00A2478D">
        <w:rPr>
          <w:rFonts w:ascii="David" w:hAnsi="David" w:cs="David"/>
          <w:sz w:val="20"/>
          <w:szCs w:val="20"/>
          <w:rtl/>
        </w:rPr>
        <w:t xml:space="preserve"> כופים אותו להוציאה, כיוון שהכהנים בזמן הזה הואיל ואין להם כתבי יוחסין</w:t>
      </w:r>
      <w:r w:rsidRPr="00A2478D">
        <w:rPr>
          <w:rFonts w:ascii="David" w:hAnsi="David" w:cs="David" w:hint="cs"/>
          <w:sz w:val="20"/>
          <w:szCs w:val="20"/>
          <w:rtl/>
        </w:rPr>
        <w:t>,</w:t>
      </w:r>
      <w:r w:rsidRPr="00A2478D">
        <w:rPr>
          <w:rFonts w:ascii="David" w:hAnsi="David" w:cs="David"/>
          <w:sz w:val="20"/>
          <w:szCs w:val="20"/>
          <w:rtl/>
        </w:rPr>
        <w:t xml:space="preserve"> הורעה חזקתם </w:t>
      </w:r>
      <w:r w:rsidRPr="00A2478D">
        <w:rPr>
          <w:rFonts w:ascii="David" w:hAnsi="David" w:cs="David" w:hint="cs"/>
          <w:sz w:val="20"/>
          <w:szCs w:val="20"/>
          <w:rtl/>
        </w:rPr>
        <w:t xml:space="preserve">ודינם </w:t>
      </w:r>
      <w:r w:rsidRPr="00A2478D">
        <w:rPr>
          <w:rFonts w:ascii="David" w:hAnsi="David" w:cs="David"/>
          <w:sz w:val="20"/>
          <w:szCs w:val="20"/>
          <w:rtl/>
        </w:rPr>
        <w:t>ספק, ובדרבנן יש להקל</w:t>
      </w:r>
      <w:r w:rsidRPr="00A2478D">
        <w:rPr>
          <w:rFonts w:ascii="David" w:hAnsi="David" w:cs="David" w:hint="cs"/>
          <w:sz w:val="20"/>
          <w:szCs w:val="20"/>
          <w:rtl/>
        </w:rPr>
        <w:t>.</w:t>
      </w:r>
      <w:r w:rsidRPr="00A2478D">
        <w:rPr>
          <w:rFonts w:ascii="David" w:hAnsi="David" w:cs="David"/>
          <w:sz w:val="20"/>
          <w:szCs w:val="20"/>
          <w:rtl/>
        </w:rPr>
        <w:t xml:space="preserve"> והוסיף שאף שהאדם החזיק עצמו ככהן, אין אומרים 'שויא אנפשיה חתיכא דאיסורא' הואיל והוא עצמו לא באמת יודע שהוא כהן, אלא רק ע</w:t>
      </w:r>
      <w:r w:rsidRPr="00A2478D">
        <w:rPr>
          <w:rFonts w:ascii="David" w:hAnsi="David" w:cs="David" w:hint="cs"/>
          <w:sz w:val="20"/>
          <w:szCs w:val="20"/>
          <w:rtl/>
        </w:rPr>
        <w:t>ל פי</w:t>
      </w:r>
      <w:r w:rsidRPr="00A2478D">
        <w:rPr>
          <w:rFonts w:ascii="David" w:hAnsi="David" w:cs="David"/>
          <w:sz w:val="20"/>
          <w:szCs w:val="20"/>
          <w:rtl/>
        </w:rPr>
        <w:t xml:space="preserve"> חזקת אבותיו, שאף אצלם החזקה רעועה והם מסופקים בדבר. </w:t>
      </w:r>
    </w:p>
    <w:p w14:paraId="2D3EE81F" w14:textId="0F4C5ECF"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 xml:space="preserve">אמנם בשו"ת המהרי"ט (חלק א סימן קמט) ובשו"ת חוט השני (סימן יז) ובשו"ת כנסת יחזקאל (סוף סימן נו) חלקו על המהרשד"ם. אך למעשה מצרפים את דעת המהרשד"ם וסיעתו </w:t>
      </w:r>
      <w:r w:rsidR="00107074" w:rsidRPr="00A2478D">
        <w:rPr>
          <w:rFonts w:ascii="David" w:hAnsi="David" w:cs="David" w:hint="cs"/>
          <w:sz w:val="20"/>
          <w:szCs w:val="20"/>
          <w:rtl/>
        </w:rPr>
        <w:t xml:space="preserve">כשיקולים </w:t>
      </w:r>
      <w:r w:rsidR="00107074" w:rsidRPr="00A2478D">
        <w:rPr>
          <w:rFonts w:ascii="David" w:hAnsi="David" w:cs="David"/>
          <w:sz w:val="20"/>
          <w:szCs w:val="20"/>
          <w:rtl/>
        </w:rPr>
        <w:t>להקל במקרים מסוימים (</w:t>
      </w:r>
      <w:r w:rsidR="00107074" w:rsidRPr="00A2478D">
        <w:rPr>
          <w:rFonts w:ascii="David" w:hAnsi="David" w:cs="David" w:hint="cs"/>
          <w:sz w:val="20"/>
          <w:szCs w:val="20"/>
          <w:rtl/>
        </w:rPr>
        <w:t xml:space="preserve">ראו </w:t>
      </w:r>
      <w:r w:rsidR="00107074" w:rsidRPr="00A2478D">
        <w:rPr>
          <w:rFonts w:ascii="David" w:hAnsi="David" w:cs="David"/>
          <w:sz w:val="20"/>
          <w:szCs w:val="20"/>
          <w:rtl/>
        </w:rPr>
        <w:t>יביע אומר ח</w:t>
      </w:r>
      <w:r w:rsidR="00107074" w:rsidRPr="00A2478D">
        <w:rPr>
          <w:rFonts w:ascii="David" w:hAnsi="David" w:cs="David" w:hint="cs"/>
          <w:sz w:val="20"/>
          <w:szCs w:val="20"/>
          <w:rtl/>
        </w:rPr>
        <w:t xml:space="preserve">לק </w:t>
      </w:r>
      <w:r w:rsidR="00107074" w:rsidRPr="00A2478D">
        <w:rPr>
          <w:rFonts w:ascii="David" w:hAnsi="David" w:cs="David"/>
          <w:sz w:val="20"/>
          <w:szCs w:val="20"/>
          <w:rtl/>
        </w:rPr>
        <w:t>ז אבה"ז סימן י אות ד). הרחבה לדבר מצאנו בשו"ת שבט הלוי (חלק י סימן רכה), ש"באלו משפחות שכבר מדורות חיו חיים בלי תורה ומצות... באלו שהיו מעודם בקיבוצים חילונים שפרקו עול מכל מצות התורה בעו"ה, והרימו ראש להתיר שם עריות ואיסור אשת איש בלי הגבלה, וגם אם הי' להם אישות אולי ע"י חופה וקידושין, הבעלים עצמם ר"ל הפקירו נשותיהם מדעת זל"ז, ביודעם ובלא ידעם, או שלא רצו לדעת משפטי התורה, הנ"ל פשיטא, דזה עדיף הרבה מהמבואר בסוטה כ"ז ע"א ובאה"ע סימן ד' סט"ו לענין פרוצה ביותר דחשבינן בניה כחללים, ואם שם ישנם קצת צדדים להחמיר עכ"פ, לא כן בנדון כזה שהחילוני הזה בא מתרבות אנשים האלה, ואם רבינו המהרש"ל כ' על כהני יראי אלקים דקרוב דרובם נתבלבלו, א"כ בהתוסף עוד ע"ז כהני הקיבוצים או כהני רוסיא החילונים גמורים מדורות, שכמעט אין ספק דודאי נתחללו, והדברים נוטים שא"צ להתרחק מגרושה הזאת..</w:t>
      </w:r>
      <w:r w:rsidR="00107074" w:rsidRPr="00A2478D">
        <w:rPr>
          <w:rFonts w:ascii="David" w:hAnsi="David" w:cs="David" w:hint="cs"/>
          <w:sz w:val="20"/>
          <w:szCs w:val="20"/>
          <w:rtl/>
        </w:rPr>
        <w:t>."</w:t>
      </w:r>
      <w:r w:rsidR="00107074" w:rsidRPr="00A2478D">
        <w:rPr>
          <w:rFonts w:ascii="David" w:hAnsi="David" w:cs="David"/>
          <w:sz w:val="20"/>
          <w:szCs w:val="20"/>
          <w:rtl/>
        </w:rPr>
        <w:t>.</w:t>
      </w:r>
    </w:p>
    <w:p w14:paraId="615BAAC7" w14:textId="7FDDE7E3"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 xml:space="preserve">ולכן בכל מקרה יש לבדוק על סמך מה האדם </w:t>
      </w:r>
      <w:r w:rsidR="00107074" w:rsidRPr="00A2478D">
        <w:rPr>
          <w:rFonts w:ascii="David" w:hAnsi="David" w:cs="David" w:hint="cs"/>
          <w:sz w:val="20"/>
          <w:szCs w:val="20"/>
          <w:rtl/>
        </w:rPr>
        <w:t xml:space="preserve">סבור </w:t>
      </w:r>
      <w:r w:rsidR="00107074" w:rsidRPr="00A2478D">
        <w:rPr>
          <w:rFonts w:ascii="David" w:hAnsi="David" w:cs="David"/>
          <w:sz w:val="20"/>
          <w:szCs w:val="20"/>
          <w:rtl/>
        </w:rPr>
        <w:t>שהוא כהן. ואכן באחרונים מופיעים כמה סניפים הראויים להצטרף כדי לערער את חזקתו ככהן (</w:t>
      </w:r>
      <w:r w:rsidR="00107074" w:rsidRPr="00A2478D">
        <w:rPr>
          <w:rFonts w:ascii="David" w:hAnsi="David" w:cs="David" w:hint="cs"/>
          <w:sz w:val="20"/>
          <w:szCs w:val="20"/>
          <w:rtl/>
        </w:rPr>
        <w:t xml:space="preserve">ראו </w:t>
      </w:r>
      <w:r w:rsidR="00107074" w:rsidRPr="00A2478D">
        <w:rPr>
          <w:rFonts w:ascii="David" w:hAnsi="David" w:cs="David"/>
          <w:sz w:val="20"/>
          <w:szCs w:val="20"/>
          <w:rtl/>
        </w:rPr>
        <w:t xml:space="preserve">במראה הבזק חלק ז תשובה צא): כאשר כל ידיעת האדם שהוא כהן </w:t>
      </w:r>
      <w:r w:rsidR="00107074" w:rsidRPr="00A2478D">
        <w:rPr>
          <w:rFonts w:ascii="David" w:hAnsi="David" w:cs="David" w:hint="cs"/>
          <w:sz w:val="20"/>
          <w:szCs w:val="20"/>
          <w:rtl/>
        </w:rPr>
        <w:t xml:space="preserve">מבוססת </w:t>
      </w:r>
      <w:r w:rsidR="00107074" w:rsidRPr="00A2478D">
        <w:rPr>
          <w:rFonts w:ascii="David" w:hAnsi="David" w:cs="David"/>
          <w:sz w:val="20"/>
          <w:szCs w:val="20"/>
          <w:rtl/>
        </w:rPr>
        <w:t xml:space="preserve">על דברי </w:t>
      </w:r>
      <w:r w:rsidR="00107074" w:rsidRPr="00A2478D">
        <w:rPr>
          <w:rFonts w:ascii="David" w:hAnsi="David" w:cs="David" w:hint="cs"/>
          <w:sz w:val="20"/>
          <w:szCs w:val="20"/>
          <w:rtl/>
        </w:rPr>
        <w:t xml:space="preserve">אביו </w:t>
      </w:r>
      <w:r w:rsidR="00107074" w:rsidRPr="00A2478D">
        <w:rPr>
          <w:rFonts w:ascii="David" w:hAnsi="David" w:cs="David"/>
          <w:sz w:val="20"/>
          <w:szCs w:val="20"/>
          <w:rtl/>
        </w:rPr>
        <w:t>שאינו שומר תורה ומצוות (ראו אגרות משה אבהע"ז ד סימן יא); כשמסתמך על סימנים שעל הקבר (</w:t>
      </w:r>
      <w:r w:rsidR="00107074" w:rsidRPr="00A2478D">
        <w:rPr>
          <w:rFonts w:ascii="David" w:hAnsi="David" w:cs="David" w:hint="cs"/>
          <w:sz w:val="20"/>
          <w:szCs w:val="20"/>
          <w:rtl/>
        </w:rPr>
        <w:t xml:space="preserve">ראו </w:t>
      </w:r>
      <w:r w:rsidR="00107074" w:rsidRPr="00A2478D">
        <w:rPr>
          <w:rFonts w:ascii="David" w:hAnsi="David" w:cs="David"/>
          <w:sz w:val="20"/>
          <w:szCs w:val="20"/>
          <w:rtl/>
        </w:rPr>
        <w:t>אגרות משה אבהע"ז ד סימן מא; שבט הלוי חלק י סימן רכה); כשמסתמך על שם משפחה 'כהן' (</w:t>
      </w:r>
      <w:r w:rsidR="00107074" w:rsidRPr="00A2478D">
        <w:rPr>
          <w:rFonts w:ascii="David" w:hAnsi="David" w:cs="David" w:hint="cs"/>
          <w:sz w:val="20"/>
          <w:szCs w:val="20"/>
          <w:rtl/>
        </w:rPr>
        <w:t xml:space="preserve">ראו </w:t>
      </w:r>
      <w:r w:rsidR="00107074" w:rsidRPr="00A2478D">
        <w:rPr>
          <w:rFonts w:ascii="David" w:hAnsi="David" w:cs="David"/>
          <w:sz w:val="20"/>
          <w:szCs w:val="20"/>
          <w:rtl/>
        </w:rPr>
        <w:t>יביע אומר חלק ז אבהע"ז סימן ט).</w:t>
      </w:r>
    </w:p>
    <w:p w14:paraId="14B37301" w14:textId="7F15F49C"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באגרות משה (אבהע"ז ח</w:t>
      </w:r>
      <w:r w:rsidR="00107074" w:rsidRPr="00A2478D">
        <w:rPr>
          <w:rFonts w:ascii="David" w:hAnsi="David" w:cs="David" w:hint="cs"/>
          <w:sz w:val="20"/>
          <w:szCs w:val="20"/>
          <w:rtl/>
        </w:rPr>
        <w:t xml:space="preserve">לק </w:t>
      </w:r>
      <w:r w:rsidR="00107074" w:rsidRPr="00A2478D">
        <w:rPr>
          <w:rFonts w:ascii="David" w:hAnsi="David" w:cs="David"/>
          <w:sz w:val="20"/>
          <w:szCs w:val="20"/>
          <w:rtl/>
        </w:rPr>
        <w:t>ד סימן מא ד"ה הנה) נראה שנוטה לומר עקרונית ש"אשה שהולכת לדור במושב של רשעים פרוצים בזנות, שרוב נשים הנמצאות שם הן נבעלות כשהן פנויות אף לנכרים ולפסולי כהונה, שזה היה ריעותא על החזקות מטעם רובא עדיף". ועל כן, אם הא</w:t>
      </w:r>
      <w:r w:rsidR="00107074" w:rsidRPr="00A2478D">
        <w:rPr>
          <w:rFonts w:ascii="David" w:hAnsi="David" w:cs="David" w:hint="cs"/>
          <w:sz w:val="20"/>
          <w:szCs w:val="20"/>
          <w:rtl/>
        </w:rPr>
        <w:t>י</w:t>
      </w:r>
      <w:r w:rsidR="00107074" w:rsidRPr="00A2478D">
        <w:rPr>
          <w:rFonts w:ascii="David" w:hAnsi="David" w:cs="David"/>
          <w:sz w:val="20"/>
          <w:szCs w:val="20"/>
          <w:rtl/>
        </w:rPr>
        <w:t>מא (או הסבתא) של איש זה הייתה במצב כזה, יש סניף להניח שנתחללה ואם כן בנה (או נכדה) לא ייחשב כהן. אמנם האגרות משה מסייג זאת בתנאי שיש עדות טובה לדבר.</w:t>
      </w:r>
    </w:p>
    <w:p w14:paraId="434FB79E" w14:textId="0855FC56"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hint="cs"/>
          <w:sz w:val="20"/>
          <w:szCs w:val="20"/>
          <w:rtl/>
        </w:rPr>
        <w:t xml:space="preserve">לגבי </w:t>
      </w:r>
      <w:r w:rsidR="00107074" w:rsidRPr="00A2478D">
        <w:rPr>
          <w:rFonts w:ascii="David" w:hAnsi="David" w:cs="David"/>
          <w:sz w:val="20"/>
          <w:szCs w:val="20"/>
          <w:rtl/>
        </w:rPr>
        <w:t>עצם הלימוד באוניברסיטה</w:t>
      </w:r>
      <w:r w:rsidR="00107074" w:rsidRPr="00A2478D">
        <w:rPr>
          <w:rFonts w:ascii="David" w:hAnsi="David" w:cs="David" w:hint="cs"/>
          <w:sz w:val="20"/>
          <w:szCs w:val="20"/>
          <w:rtl/>
        </w:rPr>
        <w:t>,</w:t>
      </w:r>
      <w:r w:rsidR="00107074" w:rsidRPr="00A2478D">
        <w:rPr>
          <w:rFonts w:ascii="David" w:hAnsi="David" w:cs="David"/>
          <w:sz w:val="20"/>
          <w:szCs w:val="20"/>
          <w:rtl/>
        </w:rPr>
        <w:t xml:space="preserve"> שמצוי</w:t>
      </w:r>
      <w:r w:rsidR="00107074" w:rsidRPr="00A2478D">
        <w:rPr>
          <w:rFonts w:ascii="David" w:hAnsi="David" w:cs="David" w:hint="cs"/>
          <w:sz w:val="20"/>
          <w:szCs w:val="20"/>
          <w:rtl/>
        </w:rPr>
        <w:t>ים</w:t>
      </w:r>
      <w:r w:rsidR="00107074" w:rsidRPr="00A2478D">
        <w:rPr>
          <w:rFonts w:ascii="David" w:hAnsi="David" w:cs="David"/>
          <w:sz w:val="20"/>
          <w:szCs w:val="20"/>
          <w:rtl/>
        </w:rPr>
        <w:t xml:space="preserve"> שם בעלי עברה</w:t>
      </w:r>
      <w:r w:rsidR="00107074" w:rsidRPr="00A2478D">
        <w:rPr>
          <w:rFonts w:ascii="David" w:hAnsi="David" w:cs="David" w:hint="cs"/>
          <w:sz w:val="20"/>
          <w:szCs w:val="20"/>
          <w:rtl/>
        </w:rPr>
        <w:t>,</w:t>
      </w:r>
      <w:r w:rsidR="00107074" w:rsidRPr="00A2478D">
        <w:rPr>
          <w:rFonts w:ascii="David" w:hAnsi="David" w:cs="David"/>
          <w:sz w:val="20"/>
          <w:szCs w:val="20"/>
          <w:rtl/>
        </w:rPr>
        <w:t xml:space="preserve"> כתב האגרות משה (אבהע"ז ח</w:t>
      </w:r>
      <w:r w:rsidR="00107074" w:rsidRPr="00A2478D">
        <w:rPr>
          <w:rFonts w:ascii="David" w:hAnsi="David" w:cs="David" w:hint="cs"/>
          <w:sz w:val="20"/>
          <w:szCs w:val="20"/>
          <w:rtl/>
        </w:rPr>
        <w:t xml:space="preserve">לק </w:t>
      </w:r>
      <w:r w:rsidR="00107074" w:rsidRPr="00A2478D">
        <w:rPr>
          <w:rFonts w:ascii="David" w:hAnsi="David" w:cs="David"/>
          <w:sz w:val="20"/>
          <w:szCs w:val="20"/>
          <w:rtl/>
        </w:rPr>
        <w:t xml:space="preserve">ג סימן טז) שאין זה מרע את חזקת כשרותה לכהונה, שהרי יש שם גם </w:t>
      </w:r>
      <w:r w:rsidR="00107074" w:rsidRPr="00A2478D">
        <w:rPr>
          <w:rFonts w:ascii="David" w:hAnsi="David" w:cs="David" w:hint="cs"/>
          <w:sz w:val="20"/>
          <w:szCs w:val="20"/>
          <w:rtl/>
        </w:rPr>
        <w:t xml:space="preserve">רבות </w:t>
      </w:r>
      <w:r w:rsidR="00107074" w:rsidRPr="00A2478D">
        <w:rPr>
          <w:rFonts w:ascii="David" w:hAnsi="David" w:cs="David"/>
          <w:sz w:val="20"/>
          <w:szCs w:val="20"/>
          <w:rtl/>
        </w:rPr>
        <w:t>שאי</w:t>
      </w:r>
      <w:r w:rsidR="00107074" w:rsidRPr="00A2478D">
        <w:rPr>
          <w:rFonts w:ascii="David" w:hAnsi="David" w:cs="David" w:hint="cs"/>
          <w:sz w:val="20"/>
          <w:szCs w:val="20"/>
          <w:rtl/>
        </w:rPr>
        <w:t>נ</w:t>
      </w:r>
      <w:r w:rsidR="00107074" w:rsidRPr="00A2478D">
        <w:rPr>
          <w:rFonts w:ascii="David" w:hAnsi="David" w:cs="David"/>
          <w:sz w:val="20"/>
          <w:szCs w:val="20"/>
          <w:rtl/>
        </w:rPr>
        <w:t>ן מתפתות לזנות מיראתן שלא יוכלו להינשא לאיש ההגון להן. [אך יש לציין שהאגרות משה בתשובה זו מדבר בזוג נשוי שיש לו ילדים, שיש חשש שמה שאומרת עכשיו</w:t>
      </w:r>
      <w:r w:rsidR="00107074" w:rsidRPr="00A2478D">
        <w:rPr>
          <w:rFonts w:ascii="David" w:hAnsi="David" w:cs="David" w:hint="cs"/>
          <w:sz w:val="20"/>
          <w:szCs w:val="20"/>
          <w:rtl/>
        </w:rPr>
        <w:t>,</w:t>
      </w:r>
      <w:r w:rsidR="00107074" w:rsidRPr="00A2478D">
        <w:rPr>
          <w:rFonts w:ascii="David" w:hAnsi="David" w:cs="David"/>
          <w:sz w:val="20"/>
          <w:szCs w:val="20"/>
          <w:rtl/>
        </w:rPr>
        <w:t xml:space="preserve"> שנבעלה לגוי קודם הנישואין</w:t>
      </w:r>
      <w:r w:rsidR="00107074" w:rsidRPr="00A2478D">
        <w:rPr>
          <w:rFonts w:ascii="David" w:hAnsi="David" w:cs="David" w:hint="cs"/>
          <w:sz w:val="20"/>
          <w:szCs w:val="20"/>
          <w:rtl/>
        </w:rPr>
        <w:t>,</w:t>
      </w:r>
      <w:r w:rsidR="00107074" w:rsidRPr="00A2478D">
        <w:rPr>
          <w:rFonts w:ascii="David" w:hAnsi="David" w:cs="David"/>
          <w:sz w:val="20"/>
          <w:szCs w:val="20"/>
          <w:rtl/>
        </w:rPr>
        <w:t xml:space="preserve"> הוא בגלל 'שמא עיניה נתנה באחר', ולכן אינה גורעת את חזקת כשרותה לכהונה בטענה זו שלמדה במקום שמצויים בעלי עברה, והבעל רשאי </w:t>
      </w:r>
      <w:r w:rsidR="00107074" w:rsidRPr="00A2478D">
        <w:rPr>
          <w:rFonts w:ascii="David" w:hAnsi="David" w:cs="David" w:hint="cs"/>
          <w:sz w:val="20"/>
          <w:szCs w:val="20"/>
          <w:rtl/>
        </w:rPr>
        <w:t>ש</w:t>
      </w:r>
      <w:r w:rsidR="00107074" w:rsidRPr="00A2478D">
        <w:rPr>
          <w:rFonts w:ascii="David" w:hAnsi="David" w:cs="David"/>
          <w:sz w:val="20"/>
          <w:szCs w:val="20"/>
          <w:rtl/>
        </w:rPr>
        <w:t>לא להאמין לה.] וכן ביביע אומר (ח</w:t>
      </w:r>
      <w:r w:rsidR="00107074" w:rsidRPr="00A2478D">
        <w:rPr>
          <w:rFonts w:ascii="David" w:hAnsi="David" w:cs="David" w:hint="cs"/>
          <w:sz w:val="20"/>
          <w:szCs w:val="20"/>
          <w:rtl/>
        </w:rPr>
        <w:t xml:space="preserve">לק </w:t>
      </w:r>
      <w:r w:rsidR="00107074" w:rsidRPr="00A2478D">
        <w:rPr>
          <w:rFonts w:ascii="David" w:hAnsi="David" w:cs="David"/>
          <w:sz w:val="20"/>
          <w:szCs w:val="20"/>
          <w:rtl/>
        </w:rPr>
        <w:t>י אבהע"ז סימן ג) התייחס ל</w:t>
      </w:r>
      <w:r w:rsidR="00107074">
        <w:rPr>
          <w:rFonts w:ascii="David" w:hAnsi="David" w:cs="David"/>
          <w:sz w:val="20"/>
          <w:szCs w:val="20"/>
          <w:rtl/>
        </w:rPr>
        <w:t>ענין</w:t>
      </w:r>
      <w:r w:rsidR="00107074" w:rsidRPr="00A2478D">
        <w:rPr>
          <w:rFonts w:ascii="David" w:hAnsi="David" w:cs="David"/>
          <w:sz w:val="20"/>
          <w:szCs w:val="20"/>
          <w:rtl/>
        </w:rPr>
        <w:t xml:space="preserve"> מקום הלימודים עם גויים כשדן אם לתלות שהא</w:t>
      </w:r>
      <w:r w:rsidR="00107074" w:rsidRPr="00A2478D">
        <w:rPr>
          <w:rFonts w:ascii="David" w:hAnsi="David" w:cs="David" w:hint="cs"/>
          <w:sz w:val="20"/>
          <w:szCs w:val="20"/>
          <w:rtl/>
        </w:rPr>
        <w:t>ֵ</w:t>
      </w:r>
      <w:r w:rsidR="00107074" w:rsidRPr="00A2478D">
        <w:rPr>
          <w:rFonts w:ascii="David" w:hAnsi="David" w:cs="David"/>
          <w:sz w:val="20"/>
          <w:szCs w:val="20"/>
          <w:rtl/>
        </w:rPr>
        <w:t xml:space="preserve">ם </w:t>
      </w:r>
      <w:r w:rsidR="00107074" w:rsidRPr="00A2478D">
        <w:rPr>
          <w:rFonts w:ascii="David" w:hAnsi="David" w:cs="David" w:hint="cs"/>
          <w:sz w:val="20"/>
          <w:szCs w:val="20"/>
          <w:rtl/>
        </w:rPr>
        <w:t>ה</w:t>
      </w:r>
      <w:r w:rsidR="00107074" w:rsidRPr="00A2478D">
        <w:rPr>
          <w:rFonts w:ascii="David" w:hAnsi="David" w:cs="David"/>
          <w:sz w:val="20"/>
          <w:szCs w:val="20"/>
          <w:rtl/>
        </w:rPr>
        <w:t>תעברה מגוי ולא מיהודי (כדי שלא תיווצר בעיית ממזרות)</w:t>
      </w:r>
      <w:r w:rsidR="00107074" w:rsidRPr="00A2478D">
        <w:rPr>
          <w:rFonts w:ascii="David" w:hAnsi="David" w:cs="David" w:hint="cs"/>
          <w:sz w:val="20"/>
          <w:szCs w:val="20"/>
          <w:rtl/>
        </w:rPr>
        <w:t>:</w:t>
      </w:r>
      <w:r w:rsidR="00107074" w:rsidRPr="00A2478D">
        <w:rPr>
          <w:rFonts w:ascii="David" w:hAnsi="David" w:cs="David"/>
          <w:sz w:val="20"/>
          <w:szCs w:val="20"/>
          <w:rtl/>
        </w:rPr>
        <w:t xml:space="preserve"> "והנה לדאבון לבנו בזמן הזה נפרצו כמה מן הגדרות והמחיצות שבין ישראל לעמים, ובפרט בחו"ל שמתגוררים יהודים וגוים בבתים משותפים, ועל ספסל הלימודים יושבים בנים ובנות בערבוביא, באוניברסיטאות ובמכללות יהודים וגוים ביחד, ומתקרבים בדעותיהם ובהליכותיהם, והסירו מסוה הבושה מעל פניהם, גם בוש לא יבושו גם הכלם לא ידעו, ואין יראת ה' על פניהם... ו</w:t>
      </w:r>
      <w:r w:rsidR="00107074">
        <w:rPr>
          <w:rFonts w:ascii="David" w:hAnsi="David" w:cs="David"/>
          <w:sz w:val="20"/>
          <w:szCs w:val="20"/>
          <w:rtl/>
        </w:rPr>
        <w:t>על פי</w:t>
      </w:r>
      <w:r w:rsidR="00107074" w:rsidRPr="00A2478D">
        <w:rPr>
          <w:rFonts w:ascii="David" w:hAnsi="David" w:cs="David"/>
          <w:sz w:val="20"/>
          <w:szCs w:val="20"/>
          <w:rtl/>
        </w:rPr>
        <w:t xml:space="preserve"> המציאות הזאת בודאי שכל שיש רוב עכו"ם תלינן שנתעברה מגוי והולד כשר, ואף הריטב"א (כתובות ט ע"א) והאור זרוע (סימן תרנז) הנ"ל שכתבו, שרוב המצויים אצלה ישראל, בדורותינו אלה גם הם יודו שאלה שאינן נוהגות בצניעות ככל בנות ישראל הכשרות, פריצי להו ושכיחי להו עכו"ם לא פחות מישראל". </w:t>
      </w:r>
    </w:p>
    <w:p w14:paraId="64440276" w14:textId="65BE25DD"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ועל כן נראה שיש לבדוק היטב את א</w:t>
      </w:r>
      <w:r w:rsidR="00107074" w:rsidRPr="00A2478D">
        <w:rPr>
          <w:rFonts w:ascii="David" w:hAnsi="David" w:cs="David" w:hint="cs"/>
          <w:sz w:val="20"/>
          <w:szCs w:val="20"/>
          <w:rtl/>
        </w:rPr>
        <w:t>י</w:t>
      </w:r>
      <w:r w:rsidR="00107074" w:rsidRPr="00A2478D">
        <w:rPr>
          <w:rFonts w:ascii="David" w:hAnsi="David" w:cs="David"/>
          <w:sz w:val="20"/>
          <w:szCs w:val="20"/>
          <w:rtl/>
        </w:rPr>
        <w:t>מו של הכהן</w:t>
      </w:r>
      <w:r w:rsidR="00107074" w:rsidRPr="00A2478D">
        <w:rPr>
          <w:rFonts w:ascii="David" w:hAnsi="David" w:cs="David" w:hint="cs"/>
          <w:sz w:val="20"/>
          <w:szCs w:val="20"/>
          <w:rtl/>
        </w:rPr>
        <w:t>,</w:t>
      </w:r>
      <w:r w:rsidR="00107074" w:rsidRPr="00A2478D">
        <w:rPr>
          <w:rFonts w:ascii="David" w:hAnsi="David" w:cs="David"/>
          <w:sz w:val="20"/>
          <w:szCs w:val="20"/>
          <w:rtl/>
        </w:rPr>
        <w:t xml:space="preserve"> </w:t>
      </w:r>
      <w:r w:rsidR="00107074" w:rsidRPr="00A2478D">
        <w:rPr>
          <w:rFonts w:ascii="David" w:hAnsi="David" w:cs="David" w:hint="cs"/>
          <w:sz w:val="20"/>
          <w:szCs w:val="20"/>
          <w:rtl/>
        </w:rPr>
        <w:t xml:space="preserve">את </w:t>
      </w:r>
      <w:r w:rsidR="00107074" w:rsidRPr="00A2478D">
        <w:rPr>
          <w:rFonts w:ascii="David" w:hAnsi="David" w:cs="David"/>
          <w:sz w:val="20"/>
          <w:szCs w:val="20"/>
          <w:rtl/>
        </w:rPr>
        <w:t>משפחתה ו</w:t>
      </w:r>
      <w:r w:rsidR="00107074" w:rsidRPr="00A2478D">
        <w:rPr>
          <w:rFonts w:ascii="David" w:hAnsi="David" w:cs="David" w:hint="cs"/>
          <w:sz w:val="20"/>
          <w:szCs w:val="20"/>
          <w:rtl/>
        </w:rPr>
        <w:t xml:space="preserve">את </w:t>
      </w:r>
      <w:r w:rsidR="00107074" w:rsidRPr="00A2478D">
        <w:rPr>
          <w:rFonts w:ascii="David" w:hAnsi="David" w:cs="David"/>
          <w:sz w:val="20"/>
          <w:szCs w:val="20"/>
          <w:rtl/>
        </w:rPr>
        <w:t>אורח חייהם</w:t>
      </w:r>
      <w:r w:rsidR="00107074" w:rsidRPr="00A2478D">
        <w:rPr>
          <w:rFonts w:ascii="David" w:hAnsi="David" w:cs="David" w:hint="cs"/>
          <w:sz w:val="20"/>
          <w:szCs w:val="20"/>
          <w:rtl/>
        </w:rPr>
        <w:t>,</w:t>
      </w:r>
      <w:r w:rsidR="00107074" w:rsidRPr="00A2478D">
        <w:rPr>
          <w:rFonts w:ascii="David" w:hAnsi="David" w:cs="David"/>
          <w:sz w:val="20"/>
          <w:szCs w:val="20"/>
          <w:rtl/>
        </w:rPr>
        <w:t xml:space="preserve"> אם אכן יש להם 'חזקת כשרות'. אמנם </w:t>
      </w:r>
      <w:r w:rsidR="00107074" w:rsidRPr="00A2478D">
        <w:rPr>
          <w:rFonts w:ascii="David" w:hAnsi="David" w:cs="David" w:hint="cs"/>
          <w:sz w:val="20"/>
          <w:szCs w:val="20"/>
          <w:rtl/>
        </w:rPr>
        <w:t xml:space="preserve">אם </w:t>
      </w:r>
      <w:r w:rsidR="00107074" w:rsidRPr="00A2478D">
        <w:rPr>
          <w:rFonts w:ascii="David" w:hAnsi="David" w:cs="David"/>
          <w:sz w:val="20"/>
          <w:szCs w:val="20"/>
          <w:rtl/>
        </w:rPr>
        <w:t>התברר שאין ספק מבוסס בכהונתו והרי הוא בחזקתו, עקרונית יש לדבר על ליבם שלא יינשאו זה לזה. וכדברי הציץ אליעזר (ח</w:t>
      </w:r>
      <w:r w:rsidR="00107074" w:rsidRPr="00A2478D">
        <w:rPr>
          <w:rFonts w:ascii="David" w:hAnsi="David" w:cs="David" w:hint="cs"/>
          <w:sz w:val="20"/>
          <w:szCs w:val="20"/>
          <w:rtl/>
        </w:rPr>
        <w:t>לק י</w:t>
      </w:r>
      <w:r w:rsidR="00107074" w:rsidRPr="00A2478D">
        <w:rPr>
          <w:rFonts w:ascii="David" w:hAnsi="David" w:cs="David"/>
          <w:sz w:val="20"/>
          <w:szCs w:val="20"/>
          <w:rtl/>
        </w:rPr>
        <w:t>ז סימן מז אות ד)</w:t>
      </w:r>
      <w:r w:rsidR="00107074" w:rsidRPr="00A2478D">
        <w:rPr>
          <w:rFonts w:ascii="David" w:hAnsi="David" w:cs="David" w:hint="cs"/>
          <w:sz w:val="20"/>
          <w:szCs w:val="20"/>
          <w:rtl/>
        </w:rPr>
        <w:t>:</w:t>
      </w:r>
      <w:r w:rsidR="00107074" w:rsidRPr="00A2478D">
        <w:rPr>
          <w:rFonts w:ascii="David" w:hAnsi="David" w:cs="David"/>
          <w:sz w:val="20"/>
          <w:szCs w:val="20"/>
          <w:rtl/>
        </w:rPr>
        <w:t xml:space="preserve"> "ויש לדבר על לבם שיאותו להפרד זמ"ז לטובתם ולטובת הצאצאים שיולדו להם, וכשם שמצאו דרכם לשיבה למקור ישראל סבא, כך ימצא דרכם בהקמת בית כשר בישראל ולמצוא חן ושכל טוב בעיני א-להים ואדם".</w:t>
      </w:r>
    </w:p>
  </w:endnote>
  <w:endnote w:id="3">
    <w:p w14:paraId="201F4F72" w14:textId="60C5A36C" w:rsidR="00107074" w:rsidRPr="00A2478D" w:rsidRDefault="00107074" w:rsidP="00306BB3">
      <w:pPr>
        <w:tabs>
          <w:tab w:val="left" w:pos="140"/>
        </w:tabs>
        <w:ind w:left="140" w:hanging="142"/>
        <w:jc w:val="both"/>
        <w:rPr>
          <w:rFonts w:ascii="David" w:hAnsi="David" w:cs="David"/>
          <w:sz w:val="20"/>
          <w:szCs w:val="20"/>
          <w:rtl/>
        </w:rPr>
      </w:pPr>
      <w:r w:rsidRPr="00A2478D">
        <w:rPr>
          <w:rStyle w:val="af"/>
          <w:rFonts w:ascii="David" w:hAnsi="David" w:cs="David"/>
          <w:sz w:val="20"/>
          <w:szCs w:val="20"/>
        </w:rPr>
        <w:endnoteRef/>
      </w:r>
      <w:r w:rsidRPr="00A2478D">
        <w:rPr>
          <w:rFonts w:ascii="David" w:hAnsi="David" w:cs="David"/>
          <w:sz w:val="20"/>
          <w:szCs w:val="20"/>
          <w:rtl/>
        </w:rPr>
        <w:t xml:space="preserve"> </w:t>
      </w:r>
      <w:r w:rsidR="00306BB3">
        <w:rPr>
          <w:rFonts w:ascii="David" w:hAnsi="David" w:cs="David"/>
          <w:sz w:val="20"/>
          <w:szCs w:val="20"/>
          <w:rtl/>
        </w:rPr>
        <w:tab/>
      </w:r>
      <w:r w:rsidRPr="00A2478D">
        <w:rPr>
          <w:rFonts w:ascii="David" w:hAnsi="David" w:cs="David"/>
          <w:sz w:val="20"/>
          <w:szCs w:val="20"/>
          <w:rtl/>
        </w:rPr>
        <w:t xml:space="preserve">באחרונים מצאנו כמה כיוונים בנדון כזה: </w:t>
      </w:r>
    </w:p>
    <w:p w14:paraId="6C379570" w14:textId="03D22D46" w:rsidR="00107074" w:rsidRPr="00A2478D" w:rsidRDefault="00306BB3" w:rsidP="00306BB3">
      <w:pPr>
        <w:pStyle w:val="aff7"/>
        <w:tabs>
          <w:tab w:val="left" w:pos="140"/>
        </w:tabs>
        <w:spacing w:after="0" w:line="240" w:lineRule="auto"/>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hint="cs"/>
          <w:sz w:val="20"/>
          <w:szCs w:val="20"/>
          <w:rtl/>
        </w:rPr>
        <w:t xml:space="preserve">א. </w:t>
      </w:r>
      <w:r w:rsidR="00107074" w:rsidRPr="00A2478D">
        <w:rPr>
          <w:rFonts w:ascii="David" w:hAnsi="David" w:cs="David"/>
          <w:sz w:val="20"/>
          <w:szCs w:val="20"/>
          <w:rtl/>
        </w:rPr>
        <w:t>הרד"צ הופמן (שו"ת מלמד להועיל ח</w:t>
      </w:r>
      <w:r w:rsidR="00107074" w:rsidRPr="00A2478D">
        <w:rPr>
          <w:rFonts w:ascii="David" w:hAnsi="David" w:cs="David" w:hint="cs"/>
          <w:sz w:val="20"/>
          <w:szCs w:val="20"/>
          <w:rtl/>
        </w:rPr>
        <w:t xml:space="preserve">לק </w:t>
      </w:r>
      <w:r w:rsidR="00107074" w:rsidRPr="00A2478D">
        <w:rPr>
          <w:rFonts w:ascii="David" w:hAnsi="David" w:cs="David"/>
          <w:sz w:val="20"/>
          <w:szCs w:val="20"/>
          <w:rtl/>
        </w:rPr>
        <w:t>ג סימן ח) העלה שעדיף לגייר את הא</w:t>
      </w:r>
      <w:r w:rsidR="00107074" w:rsidRPr="00A2478D">
        <w:rPr>
          <w:rFonts w:ascii="David" w:hAnsi="David" w:cs="David" w:hint="cs"/>
          <w:sz w:val="20"/>
          <w:szCs w:val="20"/>
          <w:rtl/>
        </w:rPr>
        <w:t>י</w:t>
      </w:r>
      <w:r w:rsidR="00107074" w:rsidRPr="00A2478D">
        <w:rPr>
          <w:rFonts w:ascii="David" w:hAnsi="David" w:cs="David"/>
          <w:sz w:val="20"/>
          <w:szCs w:val="20"/>
          <w:rtl/>
        </w:rPr>
        <w:t>שה במצב זה, מ</w:t>
      </w:r>
      <w:r w:rsidR="00107074" w:rsidRPr="00A2478D">
        <w:rPr>
          <w:rFonts w:ascii="David" w:hAnsi="David" w:cs="David" w:hint="cs"/>
          <w:sz w:val="20"/>
          <w:szCs w:val="20"/>
          <w:rtl/>
        </w:rPr>
        <w:t>כמ</w:t>
      </w:r>
      <w:r w:rsidR="00107074" w:rsidRPr="00A2478D">
        <w:rPr>
          <w:rFonts w:ascii="David" w:hAnsi="David" w:cs="David"/>
          <w:sz w:val="20"/>
          <w:szCs w:val="20"/>
          <w:rtl/>
        </w:rPr>
        <w:t>ה</w:t>
      </w:r>
      <w:r w:rsidR="00107074" w:rsidRPr="00A2478D">
        <w:rPr>
          <w:rFonts w:ascii="David" w:hAnsi="David" w:cs="David" w:hint="cs"/>
          <w:sz w:val="20"/>
          <w:szCs w:val="20"/>
          <w:rtl/>
        </w:rPr>
        <w:t xml:space="preserve"> </w:t>
      </w:r>
      <w:r w:rsidR="00107074" w:rsidRPr="00A2478D">
        <w:rPr>
          <w:rFonts w:ascii="David" w:hAnsi="David" w:cs="David"/>
          <w:sz w:val="20"/>
          <w:szCs w:val="20"/>
          <w:rtl/>
        </w:rPr>
        <w:t>טעמים: 1. כדי ש</w:t>
      </w:r>
      <w:r w:rsidR="00107074" w:rsidRPr="00A2478D">
        <w:rPr>
          <w:rFonts w:ascii="David" w:hAnsi="David" w:cs="David" w:hint="cs"/>
          <w:sz w:val="20"/>
          <w:szCs w:val="20"/>
          <w:rtl/>
        </w:rPr>
        <w:t>מ</w:t>
      </w:r>
      <w:r w:rsidR="00107074" w:rsidRPr="00A2478D">
        <w:rPr>
          <w:rFonts w:ascii="David" w:hAnsi="David" w:cs="David"/>
          <w:sz w:val="20"/>
          <w:szCs w:val="20"/>
          <w:rtl/>
        </w:rPr>
        <w:t>זרעו של הכהן לא יהיו נכרים</w:t>
      </w:r>
      <w:r w:rsidR="00107074" w:rsidRPr="00A2478D">
        <w:rPr>
          <w:rFonts w:ascii="David" w:hAnsi="David" w:cs="David" w:hint="cs"/>
          <w:sz w:val="20"/>
          <w:szCs w:val="20"/>
          <w:rtl/>
        </w:rPr>
        <w:t>;</w:t>
      </w:r>
      <w:r w:rsidR="00107074" w:rsidRPr="00A2478D">
        <w:rPr>
          <w:rFonts w:ascii="David" w:hAnsi="David" w:cs="David"/>
          <w:sz w:val="20"/>
          <w:szCs w:val="20"/>
          <w:rtl/>
        </w:rPr>
        <w:t xml:space="preserve"> 2. איסור נישואים לגויה הוא מדאורי</w:t>
      </w:r>
      <w:r w:rsidR="00107074" w:rsidRPr="00A2478D">
        <w:rPr>
          <w:rFonts w:ascii="David" w:hAnsi="David" w:cs="David" w:hint="cs"/>
          <w:sz w:val="20"/>
          <w:szCs w:val="20"/>
          <w:rtl/>
        </w:rPr>
        <w:t>י</w:t>
      </w:r>
      <w:r w:rsidR="00107074" w:rsidRPr="00A2478D">
        <w:rPr>
          <w:rFonts w:ascii="David" w:hAnsi="David" w:cs="David"/>
          <w:sz w:val="20"/>
          <w:szCs w:val="20"/>
          <w:rtl/>
        </w:rPr>
        <w:t xml:space="preserve">תא וחייב כרת, אך בכהן נושא גיורת לכל היותר איסורו בלאו, וכדי להצילו מאיסור חמור </w:t>
      </w:r>
      <w:r w:rsidR="00107074" w:rsidRPr="00A2478D">
        <w:rPr>
          <w:rFonts w:ascii="David" w:hAnsi="David" w:cs="David" w:hint="cs"/>
          <w:sz w:val="20"/>
          <w:szCs w:val="20"/>
          <w:rtl/>
        </w:rPr>
        <w:t xml:space="preserve">עדיף </w:t>
      </w:r>
      <w:r w:rsidR="00107074" w:rsidRPr="00A2478D">
        <w:rPr>
          <w:rFonts w:ascii="David" w:hAnsi="David" w:cs="David"/>
          <w:sz w:val="20"/>
          <w:szCs w:val="20"/>
          <w:rtl/>
        </w:rPr>
        <w:t xml:space="preserve">לגיירה. אמנם הוא </w:t>
      </w:r>
      <w:r w:rsidR="00107074" w:rsidRPr="00A2478D">
        <w:rPr>
          <w:rFonts w:ascii="David" w:hAnsi="David" w:cs="David" w:hint="cs"/>
          <w:sz w:val="20"/>
          <w:szCs w:val="20"/>
          <w:rtl/>
        </w:rPr>
        <w:t>ה</w:t>
      </w:r>
      <w:r w:rsidR="00107074" w:rsidRPr="00A2478D">
        <w:rPr>
          <w:rFonts w:ascii="David" w:hAnsi="David" w:cs="David"/>
          <w:sz w:val="20"/>
          <w:szCs w:val="20"/>
          <w:rtl/>
        </w:rPr>
        <w:t>קשה מהגמרא (בכורות ל ע"ב) האומרת שהבא להתגייר ואינו מקבל עליו אפילו דבר אחד מהתורה, אין מקבלי</w:t>
      </w:r>
      <w:r w:rsidR="00107074" w:rsidRPr="00A2478D">
        <w:rPr>
          <w:rFonts w:ascii="David" w:hAnsi="David" w:cs="David" w:hint="cs"/>
          <w:sz w:val="20"/>
          <w:szCs w:val="20"/>
          <w:rtl/>
        </w:rPr>
        <w:t>ם</w:t>
      </w:r>
      <w:r w:rsidR="00107074" w:rsidRPr="00A2478D">
        <w:rPr>
          <w:rFonts w:ascii="David" w:hAnsi="David" w:cs="David"/>
          <w:sz w:val="20"/>
          <w:szCs w:val="20"/>
          <w:rtl/>
        </w:rPr>
        <w:t xml:space="preserve"> אותו, והרי כיוון שא</w:t>
      </w:r>
      <w:r w:rsidR="00107074" w:rsidRPr="00A2478D">
        <w:rPr>
          <w:rFonts w:ascii="David" w:hAnsi="David" w:cs="David" w:hint="cs"/>
          <w:sz w:val="20"/>
          <w:szCs w:val="20"/>
          <w:rtl/>
        </w:rPr>
        <w:t>י</w:t>
      </w:r>
      <w:r w:rsidR="00107074" w:rsidRPr="00A2478D">
        <w:rPr>
          <w:rFonts w:ascii="David" w:hAnsi="David" w:cs="David"/>
          <w:sz w:val="20"/>
          <w:szCs w:val="20"/>
          <w:rtl/>
        </w:rPr>
        <w:t>שה זו רוצה להינשא לכהן</w:t>
      </w:r>
      <w:r w:rsidR="00107074" w:rsidRPr="00A2478D">
        <w:rPr>
          <w:rFonts w:ascii="David" w:hAnsi="David" w:cs="David" w:hint="cs"/>
          <w:sz w:val="20"/>
          <w:szCs w:val="20"/>
          <w:rtl/>
        </w:rPr>
        <w:t>,</w:t>
      </w:r>
      <w:r w:rsidR="00107074" w:rsidRPr="00A2478D">
        <w:rPr>
          <w:rFonts w:ascii="David" w:hAnsi="David" w:cs="David"/>
          <w:sz w:val="20"/>
          <w:szCs w:val="20"/>
          <w:rtl/>
        </w:rPr>
        <w:t xml:space="preserve"> הרי תעבור על איסור נישואי כהן לגיורת! </w:t>
      </w:r>
      <w:r w:rsidR="00107074" w:rsidRPr="00A2478D">
        <w:rPr>
          <w:rFonts w:ascii="David" w:hAnsi="David" w:cs="David" w:hint="cs"/>
          <w:sz w:val="20"/>
          <w:szCs w:val="20"/>
          <w:rtl/>
        </w:rPr>
        <w:t xml:space="preserve">והשיב </w:t>
      </w:r>
      <w:r w:rsidR="00107074" w:rsidRPr="00A2478D">
        <w:rPr>
          <w:rFonts w:ascii="David" w:hAnsi="David" w:cs="David"/>
          <w:sz w:val="20"/>
          <w:szCs w:val="20"/>
          <w:rtl/>
        </w:rPr>
        <w:t>שדווקא כשאומרת בפירוש שלא רוצה לקבל מצווה ספציפית אסור לגיירה, אך כאן כשלא אומרת בפירוש, אף שאנו יודעים שתעבור על איסור זה, מכל מקום בשביל תקנת הכהן שלא יעבור על איסור כרת, ותקנת זרעו שלא ייפסד מעם ישראל, מקבלים אותה (יש להעיר שהביא שם טעם נוסף להתיר, שבאותו נדון היה חשש שאם לא יקבלו את הגויה</w:t>
      </w:r>
      <w:r w:rsidR="00107074" w:rsidRPr="00A2478D">
        <w:rPr>
          <w:rFonts w:ascii="David" w:hAnsi="David" w:cs="David" w:hint="cs"/>
          <w:sz w:val="20"/>
          <w:szCs w:val="20"/>
          <w:rtl/>
        </w:rPr>
        <w:t>,</w:t>
      </w:r>
      <w:r w:rsidR="00107074" w:rsidRPr="00A2478D">
        <w:rPr>
          <w:rFonts w:ascii="David" w:hAnsi="David" w:cs="David"/>
          <w:sz w:val="20"/>
          <w:szCs w:val="20"/>
          <w:rtl/>
        </w:rPr>
        <w:t xml:space="preserve"> היא תשתגע וי</w:t>
      </w:r>
      <w:r w:rsidR="00107074" w:rsidRPr="00A2478D">
        <w:rPr>
          <w:rFonts w:ascii="David" w:hAnsi="David" w:cs="David" w:hint="cs"/>
          <w:sz w:val="20"/>
          <w:szCs w:val="20"/>
          <w:rtl/>
        </w:rPr>
        <w:t>צא</w:t>
      </w:r>
      <w:r w:rsidR="00107074" w:rsidRPr="00A2478D">
        <w:rPr>
          <w:rFonts w:ascii="David" w:hAnsi="David" w:cs="David"/>
          <w:sz w:val="20"/>
          <w:szCs w:val="20"/>
          <w:rtl/>
        </w:rPr>
        <w:t xml:space="preserve"> מזה חילול השם. טעם זה לכאורה אינו שייך בנדוננו, אך מכל מקום נראה שגם בנדונו לא היה זה עיקר הטעם, שכן הסבר</w:t>
      </w:r>
      <w:r w:rsidR="00107074" w:rsidRPr="00A2478D">
        <w:rPr>
          <w:rFonts w:ascii="David" w:hAnsi="David" w:cs="David" w:hint="cs"/>
          <w:sz w:val="20"/>
          <w:szCs w:val="20"/>
          <w:rtl/>
        </w:rPr>
        <w:t>א</w:t>
      </w:r>
      <w:r w:rsidR="00107074" w:rsidRPr="00A2478D">
        <w:rPr>
          <w:rFonts w:ascii="David" w:hAnsi="David" w:cs="David"/>
          <w:sz w:val="20"/>
          <w:szCs w:val="20"/>
          <w:rtl/>
        </w:rPr>
        <w:t xml:space="preserve"> שיהיה חילול השם שהגויים יבינו שהשתגעה הגויה משום שלא רצו לקבלה ויאמרו שלא אכפת ליהודים מכך צריכה עיון רב). אמנם הוא ממשיך ומסייג: 1. אין לסדר עבורם אחרי הגיור חופה וקידושין, שהרי כהן הנשוי לגיורת עובר על איסור 'זונה', ולכן עדיף שיחיו בנישואין אזרחיים</w:t>
      </w:r>
      <w:r w:rsidR="00107074" w:rsidRPr="00A2478D">
        <w:rPr>
          <w:rFonts w:ascii="David" w:hAnsi="David" w:cs="David" w:hint="cs"/>
          <w:sz w:val="20"/>
          <w:szCs w:val="20"/>
          <w:rtl/>
        </w:rPr>
        <w:t>;</w:t>
      </w:r>
      <w:r w:rsidR="00107074" w:rsidRPr="00A2478D">
        <w:rPr>
          <w:rFonts w:ascii="David" w:hAnsi="David" w:cs="David"/>
          <w:sz w:val="20"/>
          <w:szCs w:val="20"/>
          <w:rtl/>
        </w:rPr>
        <w:t xml:space="preserve"> 2. יש להזהירם שישמרו דיני נידה וטבילה, שאחרת יצא </w:t>
      </w:r>
      <w:r w:rsidR="00107074" w:rsidRPr="00A2478D">
        <w:rPr>
          <w:rFonts w:ascii="David" w:hAnsi="David" w:cs="David" w:hint="cs"/>
          <w:sz w:val="20"/>
          <w:szCs w:val="20"/>
          <w:rtl/>
        </w:rPr>
        <w:t xml:space="preserve">שגיור </w:t>
      </w:r>
      <w:r w:rsidR="00107074" w:rsidRPr="00A2478D">
        <w:rPr>
          <w:rFonts w:ascii="David" w:hAnsi="David" w:cs="David"/>
          <w:sz w:val="20"/>
          <w:szCs w:val="20"/>
          <w:rtl/>
        </w:rPr>
        <w:t>דווקא גר</w:t>
      </w:r>
      <w:r w:rsidR="00107074" w:rsidRPr="00A2478D">
        <w:rPr>
          <w:rFonts w:ascii="David" w:hAnsi="David" w:cs="David" w:hint="cs"/>
          <w:sz w:val="20"/>
          <w:szCs w:val="20"/>
          <w:rtl/>
        </w:rPr>
        <w:t>ם</w:t>
      </w:r>
      <w:r w:rsidR="00107074" w:rsidRPr="00A2478D">
        <w:rPr>
          <w:rFonts w:ascii="David" w:hAnsi="David" w:cs="David"/>
          <w:sz w:val="20"/>
          <w:szCs w:val="20"/>
          <w:rtl/>
        </w:rPr>
        <w:t xml:space="preserve"> להם להפסד (שהרי בגויה אין איסור נידה, והכרת שיש בה אינו מפורש בתורה אלא מדברי קבלה וקל מזה שבנידה)</w:t>
      </w:r>
      <w:r w:rsidR="00107074" w:rsidRPr="00A2478D">
        <w:rPr>
          <w:rFonts w:ascii="David" w:hAnsi="David" w:cs="David" w:hint="cs"/>
          <w:sz w:val="20"/>
          <w:szCs w:val="20"/>
          <w:rtl/>
        </w:rPr>
        <w:t>;</w:t>
      </w:r>
      <w:r w:rsidR="00107074" w:rsidRPr="00A2478D">
        <w:rPr>
          <w:rFonts w:ascii="David" w:hAnsi="David" w:cs="David"/>
          <w:sz w:val="20"/>
          <w:szCs w:val="20"/>
          <w:rtl/>
        </w:rPr>
        <w:t xml:space="preserve"> 3. לבנים שייוולדו יהיה מעמד של חללים ולא יעלו לדוכן, וכן לבנות יהיה מעמד זה. </w:t>
      </w:r>
    </w:p>
    <w:p w14:paraId="2B6CDF67" w14:textId="311F8DCE"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 xml:space="preserve">יש לציין שרבי יצחק עראמה (עקדת יצחק בראשית, פרשת וירא, שער כ ד"ה ובמדרש) יצא בחריפות נגד העמדה שבית דין 'יתיר' לעשות חטא קל כדי למנוע מאיסורים חמורים: "וכמה פעמים נתחבטתי על זה, על אודות הנשים הקדשות שהיה איסורן רופף ביד שופטי ישראל אשר בדורנו, ולא עוד אלא שכבר יאותו בקצת הקהילות ליתן להם חנינה ביניהם, גם יש שמפסיקין להם פרס מהקהל, כי אמרו כיון שמצילות את הרווקים או הסכלים מחטא איסור אשת איש החמור או מסכנת הגויות, מוטב שיעברו על לאו זה משיבואו לידי איסור סקילה או סכנת שריפה. ואני דנתי על זה פעמים רבות לפניהם, ולפני גדוליהם, והסברתי להם, שהחטא הגדול אשר יעבור עליו איש איש מבית ישראל בסתר, ושלא לדעת הרבים וברשות בי"ד, חטאת יחיד הוא, והוא שבעוונו ימות על ידי בית דין של מעלה או מטה וכל ישראל נקיים. כמו שהיה עוון פילגש בגבעה, אם היו בי"ד שלהם מוסרין האנשים הרשעים ההם לבדם ביד ישראל. אמנם החטא הקטן, כשיסכימו עליו דעת הרבים, והדת נתנה בבתי דיניהם שלא למחות בו, הנה הוא זימה ועוון פלילי, וחטאת הקהל כולו, ולא ניתן למחילה אם לא בפורענות הקהל, כמו שהיה בבני בנימן על השתתפם בעוון, והוא היה עוון סדום כמו שביארנו, שהם ובתי דינין שלהם הסכימו שלא להחזיק יד עני ואביון. ולכן הוא טוב ומוטב, שיכרתו או ישרפו או יסקלו החטאים ההם בנפשותם, משתעקר אות אחד מהתורה בהסכמת הרבים, כמו שאמר בזה שעשתה בו פרשה בפני עצמו לא תהיה קדשה וכו' (דברים כג) כמו שיתבאר שם ב"ה. ומי שלא יקבל זה בדעתו אין לו חלק בבינה ונחלה בתורת א-להית". </w:t>
      </w:r>
    </w:p>
    <w:p w14:paraId="0AC333AF" w14:textId="228FD43B" w:rsidR="00107074" w:rsidRPr="00A2478D" w:rsidRDefault="00306BB3" w:rsidP="00306BB3">
      <w:pPr>
        <w:pStyle w:val="aff7"/>
        <w:tabs>
          <w:tab w:val="left" w:pos="140"/>
        </w:tabs>
        <w:spacing w:after="0" w:line="240" w:lineRule="auto"/>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hint="cs"/>
          <w:sz w:val="20"/>
          <w:szCs w:val="20"/>
          <w:rtl/>
        </w:rPr>
        <w:t>ב.</w:t>
      </w:r>
      <w:r w:rsidR="00107074" w:rsidRPr="00A2478D">
        <w:rPr>
          <w:rFonts w:ascii="David" w:hAnsi="David" w:cs="David"/>
          <w:sz w:val="20"/>
          <w:szCs w:val="20"/>
          <w:rtl/>
        </w:rPr>
        <w:t xml:space="preserve"> הגרי"ל צירלסון (מערכי לב אבהע"ז</w:t>
      </w:r>
      <w:r w:rsidR="00107074" w:rsidRPr="00A2478D">
        <w:rPr>
          <w:rFonts w:ascii="David" w:hAnsi="David" w:cs="David" w:hint="cs"/>
          <w:sz w:val="20"/>
          <w:szCs w:val="20"/>
          <w:rtl/>
        </w:rPr>
        <w:t xml:space="preserve"> סימן</w:t>
      </w:r>
      <w:r w:rsidR="00107074" w:rsidRPr="00A2478D">
        <w:rPr>
          <w:rFonts w:ascii="David" w:hAnsi="David" w:cs="David"/>
          <w:sz w:val="20"/>
          <w:szCs w:val="20"/>
          <w:rtl/>
        </w:rPr>
        <w:t xml:space="preserve"> עב) דן במקרה של שעת דחק שהיה חשש לשלומ</w:t>
      </w:r>
      <w:r w:rsidR="00107074" w:rsidRPr="00A2478D">
        <w:rPr>
          <w:rFonts w:ascii="David" w:hAnsi="David" w:cs="David" w:hint="cs"/>
          <w:sz w:val="20"/>
          <w:szCs w:val="20"/>
          <w:rtl/>
        </w:rPr>
        <w:t>ה</w:t>
      </w:r>
      <w:r w:rsidR="00107074" w:rsidRPr="00A2478D">
        <w:rPr>
          <w:rFonts w:ascii="David" w:hAnsi="David" w:cs="David"/>
          <w:sz w:val="20"/>
          <w:szCs w:val="20"/>
          <w:rtl/>
        </w:rPr>
        <w:t xml:space="preserve"> של הקהילה היהודית אם לא יגיירו את הא</w:t>
      </w:r>
      <w:r w:rsidR="00107074" w:rsidRPr="00A2478D">
        <w:rPr>
          <w:rFonts w:ascii="David" w:hAnsi="David" w:cs="David" w:hint="cs"/>
          <w:sz w:val="20"/>
          <w:szCs w:val="20"/>
          <w:rtl/>
        </w:rPr>
        <w:t>י</w:t>
      </w:r>
      <w:r w:rsidR="00107074" w:rsidRPr="00A2478D">
        <w:rPr>
          <w:rFonts w:ascii="David" w:hAnsi="David" w:cs="David"/>
          <w:sz w:val="20"/>
          <w:szCs w:val="20"/>
          <w:rtl/>
        </w:rPr>
        <w:t xml:space="preserve">שה, ונוסף </w:t>
      </w:r>
      <w:r w:rsidR="00107074" w:rsidRPr="00A2478D">
        <w:rPr>
          <w:rFonts w:ascii="David" w:hAnsi="David" w:cs="David" w:hint="cs"/>
          <w:sz w:val="20"/>
          <w:szCs w:val="20"/>
          <w:rtl/>
        </w:rPr>
        <w:t xml:space="preserve">לכך </w:t>
      </w:r>
      <w:r w:rsidR="00107074" w:rsidRPr="00A2478D">
        <w:rPr>
          <w:rFonts w:ascii="David" w:hAnsi="David" w:cs="David"/>
          <w:sz w:val="20"/>
          <w:szCs w:val="20"/>
          <w:rtl/>
        </w:rPr>
        <w:t xml:space="preserve">הבעל איים שישתמד, והתיר לגייר </w:t>
      </w:r>
      <w:r w:rsidR="00107074" w:rsidRPr="00A2478D">
        <w:rPr>
          <w:rFonts w:ascii="David" w:hAnsi="David" w:cs="David" w:hint="cs"/>
          <w:sz w:val="20"/>
          <w:szCs w:val="20"/>
          <w:rtl/>
        </w:rPr>
        <w:t xml:space="preserve">את האישה </w:t>
      </w:r>
      <w:r w:rsidR="00107074" w:rsidRPr="00A2478D">
        <w:rPr>
          <w:rFonts w:ascii="David" w:hAnsi="David" w:cs="David"/>
          <w:sz w:val="20"/>
          <w:szCs w:val="20"/>
          <w:rtl/>
        </w:rPr>
        <w:t>בהתבסס על המקורות הבאים: בגמ</w:t>
      </w:r>
      <w:r w:rsidR="00107074" w:rsidRPr="00A2478D">
        <w:rPr>
          <w:rFonts w:ascii="David" w:hAnsi="David" w:cs="David" w:hint="cs"/>
          <w:sz w:val="20"/>
          <w:szCs w:val="20"/>
          <w:rtl/>
        </w:rPr>
        <w:t>רא</w:t>
      </w:r>
      <w:r w:rsidR="00107074" w:rsidRPr="00A2478D">
        <w:rPr>
          <w:rFonts w:ascii="David" w:hAnsi="David" w:cs="David"/>
          <w:sz w:val="20"/>
          <w:szCs w:val="20"/>
          <w:rtl/>
        </w:rPr>
        <w:t xml:space="preserve"> (גיטין לח ע"א) מובא שרבינא התיר לשחרר שפחה שהייתה מכשילה את הרבים, כדי שתינשא ויהיה בעלה משמרה, וכך לא יחטאו הרבים, </w:t>
      </w:r>
      <w:r w:rsidR="00107074" w:rsidRPr="00A2478D">
        <w:rPr>
          <w:rFonts w:ascii="David" w:hAnsi="David" w:cs="David" w:hint="cs"/>
          <w:sz w:val="20"/>
          <w:szCs w:val="20"/>
          <w:rtl/>
        </w:rPr>
        <w:t xml:space="preserve">אף </w:t>
      </w:r>
      <w:r w:rsidR="00107074" w:rsidRPr="00A2478D">
        <w:rPr>
          <w:rFonts w:ascii="David" w:hAnsi="David" w:cs="David"/>
          <w:sz w:val="20"/>
          <w:szCs w:val="20"/>
          <w:rtl/>
        </w:rPr>
        <w:t xml:space="preserve">שהמשחרר עבדו הכנעני עובר בעשה של </w:t>
      </w:r>
      <w:r w:rsidR="00107074" w:rsidRPr="00A2478D">
        <w:rPr>
          <w:rFonts w:ascii="David" w:hAnsi="David" w:cs="David" w:hint="cs"/>
          <w:sz w:val="20"/>
          <w:szCs w:val="20"/>
          <w:rtl/>
        </w:rPr>
        <w:t>"</w:t>
      </w:r>
      <w:r w:rsidR="00107074" w:rsidRPr="00A2478D">
        <w:rPr>
          <w:rFonts w:ascii="David" w:hAnsi="David" w:cs="David"/>
          <w:sz w:val="20"/>
          <w:szCs w:val="20"/>
          <w:rtl/>
        </w:rPr>
        <w:t>לעולם בהם תעבודו</w:t>
      </w:r>
      <w:r w:rsidR="00107074" w:rsidRPr="00A2478D">
        <w:rPr>
          <w:rFonts w:ascii="David" w:hAnsi="David" w:cs="David" w:hint="cs"/>
          <w:sz w:val="20"/>
          <w:szCs w:val="20"/>
          <w:rtl/>
        </w:rPr>
        <w:t>"</w:t>
      </w:r>
      <w:r w:rsidR="00107074" w:rsidRPr="00A2478D">
        <w:rPr>
          <w:rFonts w:ascii="David" w:hAnsi="David" w:cs="David"/>
          <w:sz w:val="20"/>
          <w:szCs w:val="20"/>
          <w:rtl/>
        </w:rPr>
        <w:t xml:space="preserve"> (ויקרא כה,</w:t>
      </w:r>
      <w:r w:rsidR="00107074" w:rsidRPr="00A2478D">
        <w:rPr>
          <w:rFonts w:ascii="David" w:hAnsi="David" w:cs="David" w:hint="cs"/>
          <w:sz w:val="20"/>
          <w:szCs w:val="20"/>
          <w:rtl/>
        </w:rPr>
        <w:t xml:space="preserve"> </w:t>
      </w:r>
      <w:r w:rsidR="00107074" w:rsidRPr="00A2478D">
        <w:rPr>
          <w:rFonts w:ascii="David" w:hAnsi="David" w:cs="David"/>
          <w:sz w:val="20"/>
          <w:szCs w:val="20"/>
          <w:rtl/>
        </w:rPr>
        <w:t>מו). ואף שאביי חולק שם, זהו רק כיוון שהיה ניתן לעשות אחרת – לייחדה לעבדו הכנעני והוא היה משמרה, אך במקרה שאין אפשרות אחרת</w:t>
      </w:r>
      <w:r w:rsidR="00107074" w:rsidRPr="00A2478D">
        <w:rPr>
          <w:rFonts w:ascii="David" w:hAnsi="David" w:cs="David" w:hint="cs"/>
          <w:sz w:val="20"/>
          <w:szCs w:val="20"/>
          <w:rtl/>
        </w:rPr>
        <w:t>,</w:t>
      </w:r>
      <w:r w:rsidR="00107074" w:rsidRPr="00A2478D">
        <w:rPr>
          <w:rFonts w:ascii="David" w:hAnsi="David" w:cs="David"/>
          <w:sz w:val="20"/>
          <w:szCs w:val="20"/>
          <w:rtl/>
        </w:rPr>
        <w:t xml:space="preserve"> אף לאביי ניתן לעשות זאת. ובהמשך </w:t>
      </w:r>
      <w:r w:rsidR="00107074" w:rsidRPr="00A2478D">
        <w:rPr>
          <w:rFonts w:ascii="David" w:hAnsi="David" w:cs="David" w:hint="cs"/>
          <w:sz w:val="20"/>
          <w:szCs w:val="20"/>
          <w:rtl/>
        </w:rPr>
        <w:t xml:space="preserve">שם </w:t>
      </w:r>
      <w:r w:rsidR="00107074" w:rsidRPr="00A2478D">
        <w:rPr>
          <w:rFonts w:ascii="David" w:hAnsi="David" w:cs="David"/>
          <w:sz w:val="20"/>
          <w:szCs w:val="20"/>
          <w:rtl/>
        </w:rPr>
        <w:t>(לח ע"ב) מובא שרבי אליעזר שחרר את עבדו הכנעני כדי שישלים מניין</w:t>
      </w:r>
      <w:r w:rsidR="00107074" w:rsidRPr="00A2478D">
        <w:rPr>
          <w:rFonts w:ascii="David" w:hAnsi="David" w:cs="David" w:hint="cs"/>
          <w:sz w:val="20"/>
          <w:szCs w:val="20"/>
          <w:rtl/>
        </w:rPr>
        <w:t>,</w:t>
      </w:r>
      <w:r w:rsidR="00107074" w:rsidRPr="00A2478D">
        <w:rPr>
          <w:rFonts w:ascii="David" w:hAnsi="David" w:cs="David"/>
          <w:sz w:val="20"/>
          <w:szCs w:val="20"/>
          <w:rtl/>
        </w:rPr>
        <w:t xml:space="preserve"> ומסקנת הגמ</w:t>
      </w:r>
      <w:r w:rsidR="00107074" w:rsidRPr="00A2478D">
        <w:rPr>
          <w:rFonts w:ascii="David" w:hAnsi="David" w:cs="David" w:hint="cs"/>
          <w:sz w:val="20"/>
          <w:szCs w:val="20"/>
          <w:rtl/>
        </w:rPr>
        <w:t>רא</w:t>
      </w:r>
      <w:r w:rsidR="00107074" w:rsidRPr="00A2478D">
        <w:rPr>
          <w:rFonts w:ascii="David" w:hAnsi="David" w:cs="David"/>
          <w:sz w:val="20"/>
          <w:szCs w:val="20"/>
          <w:rtl/>
        </w:rPr>
        <w:t xml:space="preserve"> היא (בברכות מז ע"ב) שההיתר הוא משום "</w:t>
      </w:r>
      <w:r w:rsidR="00107074">
        <w:rPr>
          <w:rFonts w:ascii="David" w:hAnsi="David" w:cs="David"/>
          <w:sz w:val="20"/>
          <w:szCs w:val="20"/>
          <w:rtl/>
        </w:rPr>
        <w:t>מצווה</w:t>
      </w:r>
      <w:r w:rsidR="00107074" w:rsidRPr="00A2478D">
        <w:rPr>
          <w:rFonts w:ascii="David" w:hAnsi="David" w:cs="David"/>
          <w:sz w:val="20"/>
          <w:szCs w:val="20"/>
          <w:rtl/>
        </w:rPr>
        <w:t xml:space="preserve"> דרבים שאני". תוס</w:t>
      </w:r>
      <w:r w:rsidR="00107074" w:rsidRPr="00A2478D">
        <w:rPr>
          <w:rFonts w:ascii="David" w:hAnsi="David" w:cs="David" w:hint="cs"/>
          <w:sz w:val="20"/>
          <w:szCs w:val="20"/>
          <w:rtl/>
        </w:rPr>
        <w:t>פות</w:t>
      </w:r>
      <w:r w:rsidR="00107074" w:rsidRPr="00A2478D">
        <w:rPr>
          <w:rFonts w:ascii="David" w:hAnsi="David" w:cs="David"/>
          <w:sz w:val="20"/>
          <w:szCs w:val="20"/>
          <w:rtl/>
        </w:rPr>
        <w:t xml:space="preserve"> (שבת ד ע"א ד"ה וכי) </w:t>
      </w:r>
      <w:r w:rsidR="00107074" w:rsidRPr="00A2478D">
        <w:rPr>
          <w:rFonts w:ascii="David" w:hAnsi="David" w:cs="David" w:hint="cs"/>
          <w:sz w:val="20"/>
          <w:szCs w:val="20"/>
          <w:rtl/>
        </w:rPr>
        <w:t xml:space="preserve">ביארו </w:t>
      </w:r>
      <w:r w:rsidR="00107074" w:rsidRPr="00A2478D">
        <w:rPr>
          <w:rFonts w:ascii="David" w:hAnsi="David" w:cs="David"/>
          <w:sz w:val="20"/>
          <w:szCs w:val="20"/>
          <w:rtl/>
        </w:rPr>
        <w:t>שלכן במקרה של מי שחציו עבד וחציו בן חורין כופי</w:t>
      </w:r>
      <w:r w:rsidR="00107074" w:rsidRPr="00A2478D">
        <w:rPr>
          <w:rFonts w:ascii="David" w:hAnsi="David" w:cs="David" w:hint="cs"/>
          <w:sz w:val="20"/>
          <w:szCs w:val="20"/>
          <w:rtl/>
        </w:rPr>
        <w:t>ם</w:t>
      </w:r>
      <w:r w:rsidR="00107074" w:rsidRPr="00A2478D">
        <w:rPr>
          <w:rFonts w:ascii="David" w:hAnsi="David" w:cs="David"/>
          <w:sz w:val="20"/>
          <w:szCs w:val="20"/>
          <w:rtl/>
        </w:rPr>
        <w:t xml:space="preserve"> את רבו לשחררו, שפרי</w:t>
      </w:r>
      <w:r w:rsidR="00107074" w:rsidRPr="00A2478D">
        <w:rPr>
          <w:rFonts w:ascii="David" w:hAnsi="David" w:cs="David" w:hint="cs"/>
          <w:sz w:val="20"/>
          <w:szCs w:val="20"/>
          <w:rtl/>
        </w:rPr>
        <w:t>י</w:t>
      </w:r>
      <w:r w:rsidR="00107074" w:rsidRPr="00A2478D">
        <w:rPr>
          <w:rFonts w:ascii="David" w:hAnsi="David" w:cs="David"/>
          <w:sz w:val="20"/>
          <w:szCs w:val="20"/>
          <w:rtl/>
        </w:rPr>
        <w:t>ה ורבי</w:t>
      </w:r>
      <w:r w:rsidR="00107074" w:rsidRPr="00A2478D">
        <w:rPr>
          <w:rFonts w:ascii="David" w:hAnsi="David" w:cs="David" w:hint="cs"/>
          <w:sz w:val="20"/>
          <w:szCs w:val="20"/>
          <w:rtl/>
        </w:rPr>
        <w:t>י</w:t>
      </w:r>
      <w:r w:rsidR="00107074" w:rsidRPr="00A2478D">
        <w:rPr>
          <w:rFonts w:ascii="David" w:hAnsi="David" w:cs="David"/>
          <w:sz w:val="20"/>
          <w:szCs w:val="20"/>
          <w:rtl/>
        </w:rPr>
        <w:t>ה היא 'מצווה רבה'. לאור זאת כתב המערכי לב שאם מעלה של זיכוי אנשים רבים פעם אחת נחשב</w:t>
      </w:r>
      <w:r w:rsidR="00107074" w:rsidRPr="00A2478D">
        <w:rPr>
          <w:rFonts w:ascii="David" w:hAnsi="David" w:cs="David" w:hint="cs"/>
          <w:sz w:val="20"/>
          <w:szCs w:val="20"/>
          <w:rtl/>
        </w:rPr>
        <w:t>ת</w:t>
      </w:r>
      <w:r w:rsidR="00107074" w:rsidRPr="00A2478D">
        <w:rPr>
          <w:rFonts w:ascii="David" w:hAnsi="David" w:cs="David"/>
          <w:sz w:val="20"/>
          <w:szCs w:val="20"/>
          <w:rtl/>
        </w:rPr>
        <w:t xml:space="preserve"> 'מצווה רבה', אף זיכוי מצווה פעמים רבות לאדם אחד ייחשב מצווה רבה ל</w:t>
      </w:r>
      <w:r w:rsidR="00107074">
        <w:rPr>
          <w:rFonts w:ascii="David" w:hAnsi="David" w:cs="David"/>
          <w:sz w:val="20"/>
          <w:szCs w:val="20"/>
          <w:rtl/>
        </w:rPr>
        <w:t>ענין</w:t>
      </w:r>
      <w:r w:rsidR="00107074" w:rsidRPr="00A2478D">
        <w:rPr>
          <w:rFonts w:ascii="David" w:hAnsi="David" w:cs="David"/>
          <w:sz w:val="20"/>
          <w:szCs w:val="20"/>
          <w:rtl/>
        </w:rPr>
        <w:t xml:space="preserve"> זה, ו</w:t>
      </w:r>
      <w:r w:rsidR="00107074" w:rsidRPr="00A2478D">
        <w:rPr>
          <w:rFonts w:ascii="David" w:hAnsi="David" w:cs="David" w:hint="cs"/>
          <w:sz w:val="20"/>
          <w:szCs w:val="20"/>
          <w:rtl/>
        </w:rPr>
        <w:t xml:space="preserve">הצלה </w:t>
      </w:r>
      <w:r w:rsidR="00107074" w:rsidRPr="00A2478D">
        <w:rPr>
          <w:rFonts w:ascii="David" w:hAnsi="David" w:cs="David"/>
          <w:sz w:val="20"/>
          <w:szCs w:val="20"/>
          <w:rtl/>
        </w:rPr>
        <w:t>מעברה נחשב</w:t>
      </w:r>
      <w:r w:rsidR="00107074" w:rsidRPr="00A2478D">
        <w:rPr>
          <w:rFonts w:ascii="David" w:hAnsi="David" w:cs="David" w:hint="cs"/>
          <w:sz w:val="20"/>
          <w:szCs w:val="20"/>
          <w:rtl/>
        </w:rPr>
        <w:t>ת</w:t>
      </w:r>
      <w:r w:rsidR="00107074" w:rsidRPr="00A2478D">
        <w:rPr>
          <w:rFonts w:ascii="David" w:hAnsi="David" w:cs="David"/>
          <w:sz w:val="20"/>
          <w:szCs w:val="20"/>
          <w:rtl/>
        </w:rPr>
        <w:t xml:space="preserve"> מצווה לאור הגמ</w:t>
      </w:r>
      <w:r w:rsidR="00107074" w:rsidRPr="00A2478D">
        <w:rPr>
          <w:rFonts w:ascii="David" w:hAnsi="David" w:cs="David" w:hint="cs"/>
          <w:sz w:val="20"/>
          <w:szCs w:val="20"/>
          <w:rtl/>
        </w:rPr>
        <w:t>רא</w:t>
      </w:r>
      <w:r w:rsidR="00107074" w:rsidRPr="00A2478D">
        <w:rPr>
          <w:rFonts w:ascii="David" w:hAnsi="David" w:cs="David"/>
          <w:sz w:val="20"/>
          <w:szCs w:val="20"/>
          <w:rtl/>
        </w:rPr>
        <w:t xml:space="preserve"> (קידושין לט ע"ב), "ישב ולא עבר עבירה, נותנים לו שכר כעושה </w:t>
      </w:r>
      <w:r w:rsidR="00107074">
        <w:rPr>
          <w:rFonts w:ascii="David" w:hAnsi="David" w:cs="David"/>
          <w:sz w:val="20"/>
          <w:szCs w:val="20"/>
          <w:rtl/>
        </w:rPr>
        <w:t>מצווה</w:t>
      </w:r>
      <w:r w:rsidR="00107074" w:rsidRPr="00A2478D">
        <w:rPr>
          <w:rFonts w:ascii="David" w:hAnsi="David" w:cs="David"/>
          <w:sz w:val="20"/>
          <w:szCs w:val="20"/>
          <w:rtl/>
        </w:rPr>
        <w:t>; אמר ליה: התם, כגון שבא דבר עבירה לידו וניצול הימנה..</w:t>
      </w:r>
      <w:r w:rsidR="00107074" w:rsidRPr="00A2478D">
        <w:rPr>
          <w:rFonts w:ascii="David" w:hAnsi="David" w:cs="David" w:hint="cs"/>
          <w:sz w:val="20"/>
          <w:szCs w:val="20"/>
          <w:rtl/>
        </w:rPr>
        <w:t>."</w:t>
      </w:r>
      <w:r w:rsidR="00107074" w:rsidRPr="00A2478D">
        <w:rPr>
          <w:rFonts w:ascii="David" w:hAnsi="David" w:cs="David"/>
          <w:sz w:val="20"/>
          <w:szCs w:val="20"/>
          <w:rtl/>
        </w:rPr>
        <w:t>. יש לציין שהשלחן ערוך (יו"ד רסז</w:t>
      </w:r>
      <w:r w:rsidR="00107074" w:rsidRPr="00A2478D">
        <w:rPr>
          <w:rFonts w:ascii="David" w:hAnsi="David" w:cs="David" w:hint="cs"/>
          <w:sz w:val="20"/>
          <w:szCs w:val="20"/>
          <w:rtl/>
        </w:rPr>
        <w:t>,</w:t>
      </w:r>
      <w:r w:rsidR="00107074" w:rsidRPr="00A2478D">
        <w:rPr>
          <w:rFonts w:ascii="David" w:hAnsi="David" w:cs="David"/>
          <w:sz w:val="20"/>
          <w:szCs w:val="20"/>
          <w:rtl/>
        </w:rPr>
        <w:t xml:space="preserve"> עט) התיר לשחרר שפחה ועבד במקרים שהוזכרו לעיל. וכן מצאנו ברמ"א (אבהע"ז יג</w:t>
      </w:r>
      <w:r w:rsidR="00107074" w:rsidRPr="00A2478D">
        <w:rPr>
          <w:rFonts w:ascii="David" w:hAnsi="David" w:cs="David" w:hint="cs"/>
          <w:sz w:val="20"/>
          <w:szCs w:val="20"/>
          <w:rtl/>
        </w:rPr>
        <w:t>,</w:t>
      </w:r>
      <w:r w:rsidR="00107074" w:rsidRPr="00A2478D">
        <w:rPr>
          <w:rFonts w:ascii="David" w:hAnsi="David" w:cs="David"/>
          <w:sz w:val="20"/>
          <w:szCs w:val="20"/>
          <w:rtl/>
        </w:rPr>
        <w:t xml:space="preserve"> יא) שפסק במקרה של מופקרת לזנות, שאין צריך שתמתין </w:t>
      </w:r>
      <w:r w:rsidR="00107074" w:rsidRPr="00A2478D">
        <w:rPr>
          <w:rFonts w:ascii="David" w:hAnsi="David" w:cs="David" w:hint="cs"/>
          <w:sz w:val="20"/>
          <w:szCs w:val="20"/>
          <w:rtl/>
        </w:rPr>
        <w:t>שלושה</w:t>
      </w:r>
      <w:r w:rsidR="00107074" w:rsidRPr="00A2478D">
        <w:rPr>
          <w:rFonts w:ascii="David" w:hAnsi="David" w:cs="David"/>
          <w:sz w:val="20"/>
          <w:szCs w:val="20"/>
          <w:rtl/>
        </w:rPr>
        <w:t xml:space="preserve"> חודשים עד שת</w:t>
      </w:r>
      <w:r w:rsidR="00107074" w:rsidRPr="00A2478D">
        <w:rPr>
          <w:rFonts w:ascii="David" w:hAnsi="David" w:cs="David" w:hint="cs"/>
          <w:sz w:val="20"/>
          <w:szCs w:val="20"/>
          <w:rtl/>
        </w:rPr>
        <w:t>י</w:t>
      </w:r>
      <w:r w:rsidR="00107074" w:rsidRPr="00A2478D">
        <w:rPr>
          <w:rFonts w:ascii="David" w:hAnsi="David" w:cs="David"/>
          <w:sz w:val="20"/>
          <w:szCs w:val="20"/>
          <w:rtl/>
        </w:rPr>
        <w:t xml:space="preserve">נשא, כדי שיהיה בעלה משמרה. והוסיף הגרי"ל שאם בשביל הצלת חברו התירו במקרים אלו, קל וחומר בשביל הצלת עצמו מבגידה תמידית בכל התורה כולה. וראייה לכך </w:t>
      </w:r>
      <w:r w:rsidR="00107074" w:rsidRPr="00A2478D">
        <w:rPr>
          <w:rFonts w:ascii="David" w:hAnsi="David" w:cs="David" w:hint="cs"/>
          <w:sz w:val="20"/>
          <w:szCs w:val="20"/>
          <w:rtl/>
        </w:rPr>
        <w:t xml:space="preserve">יש להביא </w:t>
      </w:r>
      <w:r w:rsidR="00107074" w:rsidRPr="00A2478D">
        <w:rPr>
          <w:rFonts w:ascii="David" w:hAnsi="David" w:cs="David"/>
          <w:sz w:val="20"/>
          <w:szCs w:val="20"/>
          <w:rtl/>
        </w:rPr>
        <w:t>מהגמ</w:t>
      </w:r>
      <w:r w:rsidR="00107074" w:rsidRPr="00A2478D">
        <w:rPr>
          <w:rFonts w:ascii="David" w:hAnsi="David" w:cs="David" w:hint="cs"/>
          <w:sz w:val="20"/>
          <w:szCs w:val="20"/>
          <w:rtl/>
        </w:rPr>
        <w:t>רא</w:t>
      </w:r>
      <w:r w:rsidR="00107074" w:rsidRPr="00A2478D">
        <w:rPr>
          <w:rFonts w:ascii="David" w:hAnsi="David" w:cs="David"/>
          <w:sz w:val="20"/>
          <w:szCs w:val="20"/>
          <w:rtl/>
        </w:rPr>
        <w:t xml:space="preserve"> (יבמות עו ע"א) שהתירה לאדם שיש ספק אם הוא פצוע דכא, לגרום שיראה קרי ולהוציאו מספק, כדי שיהיה כשר לישא בת ישראל. כך "שהעברה היא בשביל הזכיה הנשגבה של הכניסה וההוויה התמידית בקהל ה'" (שם). הגרי"ל הוסיף שהיה מדובר שם בהוראת שעה ושעת הדחק, ושאילו היו מסרבים לגייר ולהשיא את הכהן המדובר, היה פיקוח נפש לכל הקהילה היהודית מצד הסביבה הגויית האנטישמית, והחתן עצמו אמר שהוא ישתמד אם לא יעשו זאת. יש לציין שהגרי"ל נשאל מדוע הוא "מפרסם בדפוס הוראה יוצאה מהכלל כזו"</w:t>
      </w:r>
      <w:r w:rsidR="00107074" w:rsidRPr="00A2478D">
        <w:rPr>
          <w:rFonts w:ascii="David" w:hAnsi="David" w:cs="David" w:hint="cs"/>
          <w:sz w:val="20"/>
          <w:szCs w:val="20"/>
          <w:rtl/>
        </w:rPr>
        <w:t>,</w:t>
      </w:r>
      <w:r w:rsidR="00107074" w:rsidRPr="00A2478D">
        <w:rPr>
          <w:rFonts w:ascii="David" w:hAnsi="David" w:cs="David"/>
          <w:sz w:val="20"/>
          <w:szCs w:val="20"/>
          <w:rtl/>
        </w:rPr>
        <w:t xml:space="preserve"> והרי אף הוא כתב שאין ללמוד ממנה? והפנה הגרי"ל לדברי השדי חמד (פאת השדה, כללים, מערכת הה"א ס</w:t>
      </w:r>
      <w:r w:rsidR="00107074" w:rsidRPr="00A2478D">
        <w:rPr>
          <w:rFonts w:ascii="David" w:hAnsi="David" w:cs="David" w:hint="cs"/>
          <w:sz w:val="20"/>
          <w:szCs w:val="20"/>
          <w:rtl/>
        </w:rPr>
        <w:t>ימן</w:t>
      </w:r>
      <w:r w:rsidR="00107074" w:rsidRPr="00A2478D">
        <w:rPr>
          <w:rFonts w:ascii="David" w:hAnsi="David" w:cs="David"/>
          <w:sz w:val="20"/>
          <w:szCs w:val="20"/>
          <w:rtl/>
        </w:rPr>
        <w:t xml:space="preserve"> לו ע</w:t>
      </w:r>
      <w:r w:rsidR="00107074" w:rsidRPr="00A2478D">
        <w:rPr>
          <w:rFonts w:ascii="David" w:hAnsi="David" w:cs="David" w:hint="cs"/>
          <w:sz w:val="20"/>
          <w:szCs w:val="20"/>
          <w:rtl/>
        </w:rPr>
        <w:t>ל פי</w:t>
      </w:r>
      <w:r w:rsidR="00107074" w:rsidRPr="00A2478D">
        <w:rPr>
          <w:rFonts w:ascii="David" w:hAnsi="David" w:cs="David"/>
          <w:sz w:val="20"/>
          <w:szCs w:val="20"/>
          <w:rtl/>
        </w:rPr>
        <w:t xml:space="preserve"> הרשב"ש בתשובה [סימן תקיג]), שחכם שהוכרח להורות היתר בדבר הנראה אסור, וכל שכן בדבר שבערווה, מחויב לחזק ראיותיו בספר מכמה טעמים שמונה שם, וביניהם שלא יחשבו שמורה ההוראה טעה, וכן ש</w:t>
      </w:r>
      <w:r w:rsidR="00107074" w:rsidRPr="00A2478D">
        <w:rPr>
          <w:rFonts w:ascii="David" w:hAnsi="David" w:cs="David" w:hint="cs"/>
          <w:sz w:val="20"/>
          <w:szCs w:val="20"/>
          <w:rtl/>
        </w:rPr>
        <w:t xml:space="preserve">אם </w:t>
      </w:r>
      <w:r w:rsidR="00107074" w:rsidRPr="00A2478D">
        <w:rPr>
          <w:rFonts w:ascii="David" w:hAnsi="David" w:cs="David"/>
          <w:sz w:val="20"/>
          <w:szCs w:val="20"/>
          <w:rtl/>
        </w:rPr>
        <w:t>יזדמן מעשה כזה</w:t>
      </w:r>
      <w:r w:rsidR="00107074" w:rsidRPr="00A2478D">
        <w:rPr>
          <w:rFonts w:ascii="David" w:hAnsi="David" w:cs="David" w:hint="cs"/>
          <w:sz w:val="20"/>
          <w:szCs w:val="20"/>
          <w:rtl/>
        </w:rPr>
        <w:t>,</w:t>
      </w:r>
      <w:r w:rsidR="00107074" w:rsidRPr="00A2478D">
        <w:rPr>
          <w:rFonts w:ascii="David" w:hAnsi="David" w:cs="David"/>
          <w:sz w:val="20"/>
          <w:szCs w:val="20"/>
          <w:rtl/>
        </w:rPr>
        <w:t xml:space="preserve"> שימצאו מקום לעיין בו. העולה מדברי הגרי"ל הוא שבמקרה שמגיירים ניתן אף לערוך לזוג חופה וקידושין</w:t>
      </w:r>
      <w:r w:rsidR="00107074" w:rsidRPr="00A2478D">
        <w:rPr>
          <w:rFonts w:ascii="David" w:hAnsi="David" w:cs="David" w:hint="cs"/>
          <w:sz w:val="20"/>
          <w:szCs w:val="20"/>
          <w:rtl/>
        </w:rPr>
        <w:t>.</w:t>
      </w:r>
      <w:r w:rsidR="00107074" w:rsidRPr="00A2478D">
        <w:rPr>
          <w:rFonts w:ascii="David" w:hAnsi="David" w:cs="David"/>
          <w:sz w:val="20"/>
          <w:szCs w:val="20"/>
          <w:rtl/>
        </w:rPr>
        <w:t xml:space="preserve">אמנם ציין שצריך להודיע לחתן שמהיום והלאה יהיה אסור לו לעלות לדוכן וילדיו יהיו חללים. </w:t>
      </w:r>
    </w:p>
    <w:p w14:paraId="7DA27C10" w14:textId="191B501C"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הציץ אליעזר (ח</w:t>
      </w:r>
      <w:r w:rsidR="00107074" w:rsidRPr="00A2478D">
        <w:rPr>
          <w:rFonts w:ascii="David" w:hAnsi="David" w:cs="David" w:hint="cs"/>
          <w:sz w:val="20"/>
          <w:szCs w:val="20"/>
          <w:rtl/>
        </w:rPr>
        <w:t xml:space="preserve">לק </w:t>
      </w:r>
      <w:r w:rsidR="00107074" w:rsidRPr="00A2478D">
        <w:rPr>
          <w:rFonts w:ascii="David" w:hAnsi="David" w:cs="David"/>
          <w:sz w:val="20"/>
          <w:szCs w:val="20"/>
          <w:rtl/>
        </w:rPr>
        <w:t xml:space="preserve">יז סימן מז) ציין לדברי הגרי"ל צירלסון אך למעשה לא מתיר לכהן לישא גיורת, ו"אפילו אם יקרה שתינשא לו הרי זו תצא ממנו". אך הוסיף ש"כדאי לנסות להתחקות על אמו של הבחור אם לא היתה מפסולי כהונה בשעה שנשאה לאביו הכהן, כגון גרושה, וכדומה מיתר פסולי כהונה, ועי"ז נתחלל הבן מכהונתו ויהא מותר לו לישא גיורת". וסיים הציץ אליעזר שם שאכן הרב השואל הקשיב לפסקו, והשפיע על הזוג שלטובתה יהיה שייפרדו, וכל אחד הלך לדרכו והצליח להשתדך כראוי. </w:t>
      </w:r>
    </w:p>
    <w:p w14:paraId="5D7E7A8E" w14:textId="47DD0EE6"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ג. הרב גורן (דבריו הובאו בתחומין כרך כג) דן במקרה זה, ועולה ממנו שיש לגייר את הא</w:t>
      </w:r>
      <w:r w:rsidR="00107074" w:rsidRPr="00A2478D">
        <w:rPr>
          <w:rFonts w:ascii="David" w:hAnsi="David" w:cs="David" w:hint="cs"/>
          <w:sz w:val="20"/>
          <w:szCs w:val="20"/>
          <w:rtl/>
        </w:rPr>
        <w:t>י</w:t>
      </w:r>
      <w:r w:rsidR="00107074" w:rsidRPr="00A2478D">
        <w:rPr>
          <w:rFonts w:ascii="David" w:hAnsi="David" w:cs="David"/>
          <w:sz w:val="20"/>
          <w:szCs w:val="20"/>
          <w:rtl/>
        </w:rPr>
        <w:t>שה כדי להצילם מעברות חמורות</w:t>
      </w:r>
      <w:r w:rsidR="00107074" w:rsidRPr="00A2478D">
        <w:rPr>
          <w:rFonts w:ascii="David" w:hAnsi="David" w:cs="David" w:hint="cs"/>
          <w:sz w:val="20"/>
          <w:szCs w:val="20"/>
          <w:rtl/>
        </w:rPr>
        <w:t xml:space="preserve"> יותר</w:t>
      </w:r>
      <w:r w:rsidR="00107074" w:rsidRPr="00A2478D">
        <w:rPr>
          <w:rFonts w:ascii="David" w:hAnsi="David" w:cs="David"/>
          <w:sz w:val="20"/>
          <w:szCs w:val="20"/>
          <w:rtl/>
        </w:rPr>
        <w:t>, שהרי הבא על גויה לוקה מהתורה (רמב"ם הל</w:t>
      </w:r>
      <w:r w:rsidR="00107074" w:rsidRPr="00A2478D">
        <w:rPr>
          <w:rFonts w:ascii="David" w:hAnsi="David" w:cs="David" w:hint="cs"/>
          <w:sz w:val="20"/>
          <w:szCs w:val="20"/>
          <w:rtl/>
        </w:rPr>
        <w:t>כות</w:t>
      </w:r>
      <w:r w:rsidR="00107074" w:rsidRPr="00A2478D">
        <w:rPr>
          <w:rFonts w:ascii="David" w:hAnsi="David" w:cs="David"/>
          <w:sz w:val="20"/>
          <w:szCs w:val="20"/>
          <w:rtl/>
        </w:rPr>
        <w:t xml:space="preserve"> איסורי ביאה יב,</w:t>
      </w:r>
      <w:r w:rsidR="00107074" w:rsidRPr="00A2478D">
        <w:rPr>
          <w:rFonts w:ascii="David" w:hAnsi="David" w:cs="David" w:hint="cs"/>
          <w:sz w:val="20"/>
          <w:szCs w:val="20"/>
          <w:rtl/>
        </w:rPr>
        <w:t xml:space="preserve"> </w:t>
      </w:r>
      <w:r w:rsidR="00107074" w:rsidRPr="00A2478D">
        <w:rPr>
          <w:rFonts w:ascii="David" w:hAnsi="David" w:cs="David"/>
          <w:sz w:val="20"/>
          <w:szCs w:val="20"/>
          <w:rtl/>
        </w:rPr>
        <w:t>ג), והלכה למשה מסיני שקנאים פוגעים בו וחייב כרת (ע</w:t>
      </w:r>
      <w:r w:rsidR="00107074" w:rsidRPr="00A2478D">
        <w:rPr>
          <w:rFonts w:ascii="David" w:hAnsi="David" w:cs="David" w:hint="cs"/>
          <w:sz w:val="20"/>
          <w:szCs w:val="20"/>
          <w:rtl/>
        </w:rPr>
        <w:t>ל פי</w:t>
      </w:r>
      <w:r w:rsidR="00107074" w:rsidRPr="00A2478D">
        <w:rPr>
          <w:rFonts w:ascii="David" w:hAnsi="David" w:cs="David"/>
          <w:sz w:val="20"/>
          <w:szCs w:val="20"/>
          <w:rtl/>
        </w:rPr>
        <w:t xml:space="preserve"> סנהדרין פב ע"א ורמב"ם הל</w:t>
      </w:r>
      <w:r w:rsidR="00107074" w:rsidRPr="00A2478D">
        <w:rPr>
          <w:rFonts w:ascii="David" w:hAnsi="David" w:cs="David" w:hint="cs"/>
          <w:sz w:val="20"/>
          <w:szCs w:val="20"/>
          <w:rtl/>
        </w:rPr>
        <w:t>כות</w:t>
      </w:r>
      <w:r w:rsidR="00107074" w:rsidRPr="00A2478D">
        <w:rPr>
          <w:rFonts w:ascii="David" w:hAnsi="David" w:cs="David"/>
          <w:sz w:val="20"/>
          <w:szCs w:val="20"/>
          <w:rtl/>
        </w:rPr>
        <w:t xml:space="preserve"> איסורי ביאה יב,</w:t>
      </w:r>
      <w:r w:rsidR="00107074" w:rsidRPr="00A2478D">
        <w:rPr>
          <w:rFonts w:ascii="David" w:hAnsi="David" w:cs="David" w:hint="cs"/>
          <w:sz w:val="20"/>
          <w:szCs w:val="20"/>
          <w:rtl/>
        </w:rPr>
        <w:t xml:space="preserve"> </w:t>
      </w:r>
      <w:r w:rsidR="00107074" w:rsidRPr="00A2478D">
        <w:rPr>
          <w:rFonts w:ascii="David" w:hAnsi="David" w:cs="David"/>
          <w:sz w:val="20"/>
          <w:szCs w:val="20"/>
          <w:rtl/>
        </w:rPr>
        <w:t>ד-ו), ועוון זה "יש בו הפסד שאין בכל העריות כמותו, שהבן מן הערוה בנו הוא לכל דבר ובכלל ישראל נחשב אף על פי שהוא ממזר, והבן מן הכותית אינו בנו" (שם</w:t>
      </w:r>
      <w:r w:rsidR="00107074" w:rsidRPr="00A2478D">
        <w:rPr>
          <w:rFonts w:ascii="David" w:hAnsi="David" w:cs="David" w:hint="cs"/>
          <w:sz w:val="20"/>
          <w:szCs w:val="20"/>
          <w:rtl/>
        </w:rPr>
        <w:t>,</w:t>
      </w:r>
      <w:r w:rsidR="00107074" w:rsidRPr="00A2478D">
        <w:rPr>
          <w:rFonts w:ascii="David" w:hAnsi="David" w:cs="David"/>
          <w:sz w:val="20"/>
          <w:szCs w:val="20"/>
          <w:rtl/>
        </w:rPr>
        <w:t xml:space="preserve"> ז). ואילו אחר שתתגייר לא לוק</w:t>
      </w:r>
      <w:r w:rsidR="00107074" w:rsidRPr="00A2478D">
        <w:rPr>
          <w:rFonts w:ascii="David" w:hAnsi="David" w:cs="David" w:hint="cs"/>
          <w:sz w:val="20"/>
          <w:szCs w:val="20"/>
          <w:rtl/>
        </w:rPr>
        <w:t xml:space="preserve">ה אם יבוא עליה בלי </w:t>
      </w:r>
      <w:r w:rsidR="00107074" w:rsidRPr="00A2478D">
        <w:rPr>
          <w:rFonts w:ascii="David" w:hAnsi="David" w:cs="David"/>
          <w:sz w:val="20"/>
          <w:szCs w:val="20"/>
          <w:rtl/>
        </w:rPr>
        <w:t>קידושין (רמב"ם הל</w:t>
      </w:r>
      <w:r w:rsidR="00107074" w:rsidRPr="00A2478D">
        <w:rPr>
          <w:rFonts w:ascii="David" w:hAnsi="David" w:cs="David" w:hint="cs"/>
          <w:sz w:val="20"/>
          <w:szCs w:val="20"/>
          <w:rtl/>
        </w:rPr>
        <w:t>כות</w:t>
      </w:r>
      <w:r w:rsidR="00107074" w:rsidRPr="00A2478D">
        <w:rPr>
          <w:rFonts w:ascii="David" w:hAnsi="David" w:cs="David"/>
          <w:sz w:val="20"/>
          <w:szCs w:val="20"/>
          <w:rtl/>
        </w:rPr>
        <w:t xml:space="preserve"> איסורי ביאה יז,</w:t>
      </w:r>
      <w:r w:rsidR="00107074" w:rsidRPr="00A2478D">
        <w:rPr>
          <w:rFonts w:ascii="David" w:hAnsi="David" w:cs="David" w:hint="cs"/>
          <w:sz w:val="20"/>
          <w:szCs w:val="20"/>
          <w:rtl/>
        </w:rPr>
        <w:t xml:space="preserve"> </w:t>
      </w:r>
      <w:r w:rsidR="00107074" w:rsidRPr="00A2478D">
        <w:rPr>
          <w:rFonts w:ascii="David" w:hAnsi="David" w:cs="David"/>
          <w:sz w:val="20"/>
          <w:szCs w:val="20"/>
          <w:rtl/>
        </w:rPr>
        <w:t xml:space="preserve">א-ב); ואם חי עמה כמו בעל </w:t>
      </w:r>
      <w:r w:rsidR="00107074" w:rsidRPr="00A2478D">
        <w:rPr>
          <w:rFonts w:ascii="David" w:hAnsi="David" w:cs="David" w:hint="cs"/>
          <w:sz w:val="20"/>
          <w:szCs w:val="20"/>
          <w:rtl/>
        </w:rPr>
        <w:t xml:space="preserve">ואישה </w:t>
      </w:r>
      <w:r w:rsidR="00107074" w:rsidRPr="00A2478D">
        <w:rPr>
          <w:rFonts w:ascii="David" w:hAnsi="David" w:cs="David"/>
          <w:sz w:val="20"/>
          <w:szCs w:val="20"/>
          <w:rtl/>
        </w:rPr>
        <w:t>אינו עובר על איסור קדשה, אפילו כשאין קידושין (רמב"ם אישות א, ד), ואף מצידה</w:t>
      </w:r>
      <w:r w:rsidR="00107074" w:rsidRPr="00A2478D">
        <w:rPr>
          <w:rFonts w:ascii="David" w:hAnsi="David" w:cs="David" w:hint="cs"/>
          <w:sz w:val="20"/>
          <w:szCs w:val="20"/>
          <w:rtl/>
        </w:rPr>
        <w:t>,</w:t>
      </w:r>
      <w:r w:rsidR="00107074" w:rsidRPr="00A2478D">
        <w:rPr>
          <w:rFonts w:ascii="David" w:hAnsi="David" w:cs="David"/>
          <w:sz w:val="20"/>
          <w:szCs w:val="20"/>
          <w:rtl/>
        </w:rPr>
        <w:t xml:space="preserve"> כיוון שהיא מייחדת עצמה אליו ואינה מופקרת לכל</w:t>
      </w:r>
      <w:r w:rsidR="00107074" w:rsidRPr="00A2478D">
        <w:rPr>
          <w:rFonts w:ascii="David" w:hAnsi="David" w:cs="David" w:hint="cs"/>
          <w:sz w:val="20"/>
          <w:szCs w:val="20"/>
          <w:rtl/>
        </w:rPr>
        <w:t>,</w:t>
      </w:r>
      <w:r w:rsidR="00107074" w:rsidRPr="00A2478D">
        <w:rPr>
          <w:rFonts w:ascii="David" w:hAnsi="David" w:cs="David"/>
          <w:sz w:val="20"/>
          <w:szCs w:val="20"/>
          <w:rtl/>
        </w:rPr>
        <w:t xml:space="preserve"> אין כאן איסור קדשה (</w:t>
      </w:r>
      <w:r w:rsidR="00107074" w:rsidRPr="00A2478D">
        <w:rPr>
          <w:rFonts w:ascii="David" w:hAnsi="David" w:cs="David" w:hint="cs"/>
          <w:sz w:val="20"/>
          <w:szCs w:val="20"/>
          <w:rtl/>
        </w:rPr>
        <w:t xml:space="preserve">ראו </w:t>
      </w:r>
      <w:r w:rsidR="00107074" w:rsidRPr="00A2478D">
        <w:rPr>
          <w:rFonts w:ascii="David" w:hAnsi="David" w:cs="David"/>
          <w:sz w:val="20"/>
          <w:szCs w:val="20"/>
          <w:rtl/>
        </w:rPr>
        <w:t>ראב"ד שם) (סברות אלה הן מעין מה שכתב האגרות משה שהובא בשאלה). נוסף</w:t>
      </w:r>
      <w:r w:rsidR="00107074" w:rsidRPr="00A2478D">
        <w:rPr>
          <w:rFonts w:ascii="David" w:hAnsi="David" w:cs="David" w:hint="cs"/>
          <w:sz w:val="20"/>
          <w:szCs w:val="20"/>
          <w:rtl/>
        </w:rPr>
        <w:t xml:space="preserve"> לכך</w:t>
      </w:r>
      <w:r w:rsidR="00107074" w:rsidRPr="00A2478D">
        <w:rPr>
          <w:rFonts w:ascii="David" w:hAnsi="David" w:cs="David"/>
          <w:sz w:val="20"/>
          <w:szCs w:val="20"/>
          <w:rtl/>
        </w:rPr>
        <w:t xml:space="preserve">, הוא מצרף להקל את הדעות הבאות: </w:t>
      </w:r>
    </w:p>
    <w:p w14:paraId="58308675" w14:textId="258CD983"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1. משמע בב</w:t>
      </w:r>
      <w:r w:rsidR="00107074" w:rsidRPr="00A2478D">
        <w:rPr>
          <w:rFonts w:ascii="David" w:hAnsi="David" w:cs="David" w:hint="cs"/>
          <w:sz w:val="20"/>
          <w:szCs w:val="20"/>
          <w:rtl/>
        </w:rPr>
        <w:t>ית שמואל</w:t>
      </w:r>
      <w:r w:rsidR="00107074" w:rsidRPr="00A2478D">
        <w:rPr>
          <w:rFonts w:ascii="David" w:hAnsi="David" w:cs="David"/>
          <w:sz w:val="20"/>
          <w:szCs w:val="20"/>
          <w:rtl/>
        </w:rPr>
        <w:t xml:space="preserve"> (אבהע"ז סימן ה ס"ק א וסימן ו ס"ק כ) ומפורש במנחת חינוך (מצווה רסז) שלדעת הראב"ד (הל</w:t>
      </w:r>
      <w:r w:rsidR="00107074" w:rsidRPr="00A2478D">
        <w:rPr>
          <w:rFonts w:ascii="David" w:hAnsi="David" w:cs="David" w:hint="cs"/>
          <w:sz w:val="20"/>
          <w:szCs w:val="20"/>
          <w:rtl/>
        </w:rPr>
        <w:t>כות</w:t>
      </w:r>
      <w:r w:rsidR="00107074" w:rsidRPr="00A2478D">
        <w:rPr>
          <w:rFonts w:ascii="David" w:hAnsi="David" w:cs="David"/>
          <w:sz w:val="20"/>
          <w:szCs w:val="20"/>
          <w:rtl/>
        </w:rPr>
        <w:t xml:space="preserve"> איסורי ביאה יח,</w:t>
      </w:r>
      <w:r w:rsidR="00107074" w:rsidRPr="00A2478D">
        <w:rPr>
          <w:rFonts w:ascii="David" w:hAnsi="David" w:cs="David" w:hint="cs"/>
          <w:sz w:val="20"/>
          <w:szCs w:val="20"/>
          <w:rtl/>
        </w:rPr>
        <w:t xml:space="preserve"> </w:t>
      </w:r>
      <w:r w:rsidR="00107074" w:rsidRPr="00A2478D">
        <w:rPr>
          <w:rFonts w:ascii="David" w:hAnsi="David" w:cs="David"/>
          <w:sz w:val="20"/>
          <w:szCs w:val="20"/>
          <w:rtl/>
        </w:rPr>
        <w:t>ג) איסור גיורת לכהן הוא רק מדרבנן, וכך סובר הר"י אלגאזי (ארעא דרבנן מערכת אות הגימ"ל סימן לז) בדעת התוס</w:t>
      </w:r>
      <w:r w:rsidR="00107074" w:rsidRPr="00A2478D">
        <w:rPr>
          <w:rFonts w:ascii="David" w:hAnsi="David" w:cs="David" w:hint="cs"/>
          <w:sz w:val="20"/>
          <w:szCs w:val="20"/>
          <w:rtl/>
        </w:rPr>
        <w:t>פות</w:t>
      </w:r>
      <w:r w:rsidR="00107074" w:rsidRPr="00A2478D">
        <w:rPr>
          <w:rFonts w:ascii="David" w:hAnsi="David" w:cs="David"/>
          <w:sz w:val="20"/>
          <w:szCs w:val="20"/>
          <w:rtl/>
        </w:rPr>
        <w:t xml:space="preserve"> (יבמות סא ע"א ד"ה אין זונה)</w:t>
      </w:r>
      <w:r w:rsidR="00107074" w:rsidRPr="00A2478D">
        <w:rPr>
          <w:rFonts w:ascii="David" w:hAnsi="David" w:cs="David" w:hint="cs"/>
          <w:sz w:val="20"/>
          <w:szCs w:val="20"/>
          <w:rtl/>
        </w:rPr>
        <w:t>;</w:t>
      </w:r>
      <w:r w:rsidR="00107074" w:rsidRPr="00A2478D">
        <w:rPr>
          <w:rFonts w:ascii="David" w:hAnsi="David" w:cs="David"/>
          <w:sz w:val="20"/>
          <w:szCs w:val="20"/>
          <w:rtl/>
        </w:rPr>
        <w:t xml:space="preserve"> 2. האחיעזר כתב (ח</w:t>
      </w:r>
      <w:r w:rsidR="00107074" w:rsidRPr="00A2478D">
        <w:rPr>
          <w:rFonts w:ascii="David" w:hAnsi="David" w:cs="David" w:hint="cs"/>
          <w:sz w:val="20"/>
          <w:szCs w:val="20"/>
          <w:rtl/>
        </w:rPr>
        <w:t xml:space="preserve">לק </w:t>
      </w:r>
      <w:r w:rsidR="00107074" w:rsidRPr="00A2478D">
        <w:rPr>
          <w:rFonts w:ascii="David" w:hAnsi="David" w:cs="David"/>
          <w:sz w:val="20"/>
          <w:szCs w:val="20"/>
          <w:rtl/>
        </w:rPr>
        <w:t>ג סימן כח) שגם אם לכתחילה אין לגייר א</w:t>
      </w:r>
      <w:r w:rsidR="00107074" w:rsidRPr="00A2478D">
        <w:rPr>
          <w:rFonts w:ascii="David" w:hAnsi="David" w:cs="David" w:hint="cs"/>
          <w:sz w:val="20"/>
          <w:szCs w:val="20"/>
          <w:rtl/>
        </w:rPr>
        <w:t>י</w:t>
      </w:r>
      <w:r w:rsidR="00107074" w:rsidRPr="00A2478D">
        <w:rPr>
          <w:rFonts w:ascii="David" w:hAnsi="David" w:cs="David"/>
          <w:sz w:val="20"/>
          <w:szCs w:val="20"/>
          <w:rtl/>
        </w:rPr>
        <w:t>שה כז</w:t>
      </w:r>
      <w:r w:rsidR="00107074" w:rsidRPr="00A2478D">
        <w:rPr>
          <w:rFonts w:ascii="David" w:hAnsi="David" w:cs="David" w:hint="cs"/>
          <w:sz w:val="20"/>
          <w:szCs w:val="20"/>
          <w:rtl/>
        </w:rPr>
        <w:t>ו</w:t>
      </w:r>
      <w:r w:rsidR="00107074" w:rsidRPr="00A2478D">
        <w:rPr>
          <w:rFonts w:ascii="David" w:hAnsi="David" w:cs="David"/>
          <w:sz w:val="20"/>
          <w:szCs w:val="20"/>
          <w:rtl/>
        </w:rPr>
        <w:t>, מכל מקום אינו מוצא לנכון שגדולי הדור ימחו בגיורים אלו, מחשש שעמי הארץ יראו בכך חילול ה</w:t>
      </w:r>
      <w:r w:rsidR="00107074" w:rsidRPr="00A2478D">
        <w:rPr>
          <w:rFonts w:ascii="David" w:hAnsi="David" w:cs="David" w:hint="cs"/>
          <w:sz w:val="20"/>
          <w:szCs w:val="20"/>
          <w:rtl/>
        </w:rPr>
        <w:t>שם,</w:t>
      </w:r>
      <w:r w:rsidR="00107074" w:rsidRPr="00A2478D">
        <w:rPr>
          <w:rFonts w:ascii="David" w:hAnsi="David" w:cs="David"/>
          <w:sz w:val="20"/>
          <w:szCs w:val="20"/>
          <w:rtl/>
        </w:rPr>
        <w:t xml:space="preserve"> שלא מניחים את הנשים להתגייר, ובפרט שאת הילדים ניתן אף מעיקר הדין לגייר (אמנם מסקנת האחיעזר עצמו הייתה שלא לגיירם</w:t>
      </w:r>
      <w:r w:rsidR="00107074" w:rsidRPr="00A2478D">
        <w:rPr>
          <w:rFonts w:ascii="David" w:hAnsi="David" w:cs="David" w:hint="cs"/>
          <w:sz w:val="20"/>
          <w:szCs w:val="20"/>
          <w:rtl/>
        </w:rPr>
        <w:t>,</w:t>
      </w:r>
      <w:r w:rsidR="00107074" w:rsidRPr="00A2478D">
        <w:rPr>
          <w:rFonts w:ascii="David" w:hAnsi="David" w:cs="David"/>
          <w:sz w:val="20"/>
          <w:szCs w:val="20"/>
          <w:rtl/>
        </w:rPr>
        <w:t xml:space="preserve"> </w:t>
      </w:r>
      <w:r w:rsidR="00107074" w:rsidRPr="00A2478D">
        <w:rPr>
          <w:rFonts w:ascii="David" w:hAnsi="David" w:cs="David" w:hint="cs"/>
          <w:sz w:val="20"/>
          <w:szCs w:val="20"/>
          <w:rtl/>
        </w:rPr>
        <w:t xml:space="preserve">ראו </w:t>
      </w:r>
      <w:r w:rsidR="00107074" w:rsidRPr="00A2478D">
        <w:rPr>
          <w:rFonts w:ascii="David" w:hAnsi="David" w:cs="David"/>
          <w:sz w:val="20"/>
          <w:szCs w:val="20"/>
          <w:rtl/>
        </w:rPr>
        <w:t>לקמן)</w:t>
      </w:r>
      <w:r w:rsidR="00107074" w:rsidRPr="00A2478D">
        <w:rPr>
          <w:rFonts w:ascii="David" w:hAnsi="David" w:cs="David" w:hint="cs"/>
          <w:sz w:val="20"/>
          <w:szCs w:val="20"/>
          <w:rtl/>
        </w:rPr>
        <w:t>;</w:t>
      </w:r>
      <w:r w:rsidR="00107074" w:rsidRPr="00A2478D">
        <w:rPr>
          <w:rFonts w:ascii="David" w:hAnsi="David" w:cs="David"/>
          <w:sz w:val="20"/>
          <w:szCs w:val="20"/>
          <w:rtl/>
        </w:rPr>
        <w:t xml:space="preserve"> 3. ישנו חשש מבוסס שאם לא נקבלה לגירות, הרפורמים ומתנגדי התורה והדת ינצלו זאת למאבק לקבל הכרה רשמית </w:t>
      </w:r>
      <w:r w:rsidR="00107074" w:rsidRPr="00A2478D">
        <w:rPr>
          <w:rFonts w:ascii="David" w:hAnsi="David" w:cs="David" w:hint="cs"/>
          <w:sz w:val="20"/>
          <w:szCs w:val="20"/>
          <w:rtl/>
        </w:rPr>
        <w:t xml:space="preserve">בגיור </w:t>
      </w:r>
      <w:r w:rsidR="00107074" w:rsidRPr="00A2478D">
        <w:rPr>
          <w:rFonts w:ascii="David" w:hAnsi="David" w:cs="David"/>
          <w:sz w:val="20"/>
          <w:szCs w:val="20"/>
          <w:rtl/>
        </w:rPr>
        <w:t xml:space="preserve">והנישואין וגירושין שלהם, מה שעלול להרוס את כל חיי המשפחה </w:t>
      </w:r>
      <w:r w:rsidR="00107074" w:rsidRPr="00A2478D">
        <w:rPr>
          <w:rFonts w:ascii="David" w:hAnsi="David" w:cs="David" w:hint="cs"/>
          <w:sz w:val="20"/>
          <w:szCs w:val="20"/>
          <w:rtl/>
        </w:rPr>
        <w:t>בישראל;</w:t>
      </w:r>
      <w:r w:rsidR="00107074" w:rsidRPr="00A2478D">
        <w:rPr>
          <w:rFonts w:ascii="David" w:hAnsi="David" w:cs="David"/>
          <w:sz w:val="20"/>
          <w:szCs w:val="20"/>
          <w:rtl/>
        </w:rPr>
        <w:t xml:space="preserve"> 4. המלמד להועיל (ח</w:t>
      </w:r>
      <w:r w:rsidR="00107074" w:rsidRPr="00A2478D">
        <w:rPr>
          <w:rFonts w:ascii="David" w:hAnsi="David" w:cs="David" w:hint="cs"/>
          <w:sz w:val="20"/>
          <w:szCs w:val="20"/>
          <w:rtl/>
        </w:rPr>
        <w:t xml:space="preserve">לק </w:t>
      </w:r>
      <w:r w:rsidR="00107074" w:rsidRPr="00A2478D">
        <w:rPr>
          <w:rFonts w:ascii="David" w:hAnsi="David" w:cs="David"/>
          <w:sz w:val="20"/>
          <w:szCs w:val="20"/>
          <w:rtl/>
        </w:rPr>
        <w:t xml:space="preserve">ג סימן ח הנ"ל) התיר במפורש במקרה כזה לגייר נכרית החיה עם כהן על מנת שלא לחתן אותם לאחר מכן. </w:t>
      </w:r>
    </w:p>
    <w:p w14:paraId="58A30D6B" w14:textId="2781311C"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 xml:space="preserve">אמנם הרב גורן סייג שכל ההיתר הוא דווקא כשיש להם כבר בנים, שכך קשה להפרידם לגמרי. ואם לא נגייר את האם יהיה קשה לגייר את הילדים, שהרי בבית לא יהיה מי שישמור על היהדות, ולא מתקבל על הדעת שהבנים יתגיירו והאם תישאר בגיותה ויצטרכו להיזהר מבישולה וממגעה ביין וכד', וכן שהיא תחלל שבת והם ישמרו שבת. אך במקרה שעדיין אין ילדים, כיוון שלא נוכל לסדר להם חופה וקידושין אחרי הגיור, וברור שהם יעברו באופן מתמיד על איסור לאו מהתורה של נישואי כהן וגיורת, אף שלא יעברו מתוך מרד אלא מתוך אי יכולת נפשית ומעשית, ואף שישמרו מצוות וטהרת המשפחה, מכל מקום קשה להתיר לגיירה. </w:t>
      </w:r>
    </w:p>
    <w:p w14:paraId="0246B6B0" w14:textId="2245D3B1"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 xml:space="preserve">יש להעיר שהעיקרון </w:t>
      </w:r>
      <w:r w:rsidR="00107074" w:rsidRPr="00A2478D">
        <w:rPr>
          <w:rFonts w:ascii="David" w:hAnsi="David" w:cs="David" w:hint="cs"/>
          <w:sz w:val="20"/>
          <w:szCs w:val="20"/>
          <w:rtl/>
        </w:rPr>
        <w:t>ש</w:t>
      </w:r>
      <w:r w:rsidR="00107074" w:rsidRPr="00A2478D">
        <w:rPr>
          <w:rFonts w:ascii="David" w:hAnsi="David" w:cs="David"/>
          <w:sz w:val="20"/>
          <w:szCs w:val="20"/>
          <w:rtl/>
        </w:rPr>
        <w:t>יש לגרום להפחתת איסורים עולה מדברי הרמב"ם בתשובה (מהד</w:t>
      </w:r>
      <w:r w:rsidR="00107074" w:rsidRPr="00A2478D">
        <w:rPr>
          <w:rFonts w:ascii="David" w:hAnsi="David" w:cs="David" w:hint="cs"/>
          <w:sz w:val="20"/>
          <w:szCs w:val="20"/>
          <w:rtl/>
        </w:rPr>
        <w:t>רת</w:t>
      </w:r>
      <w:r w:rsidR="00107074" w:rsidRPr="00A2478D">
        <w:rPr>
          <w:rFonts w:ascii="David" w:hAnsi="David" w:cs="David"/>
          <w:sz w:val="20"/>
          <w:szCs w:val="20"/>
          <w:rtl/>
        </w:rPr>
        <w:t xml:space="preserve"> בלאו סימן ריא</w:t>
      </w:r>
      <w:r w:rsidR="00107074" w:rsidRPr="00A2478D">
        <w:rPr>
          <w:rFonts w:ascii="David" w:hAnsi="David" w:cs="David" w:hint="cs"/>
          <w:sz w:val="20"/>
          <w:szCs w:val="20"/>
          <w:rtl/>
        </w:rPr>
        <w:t>;</w:t>
      </w:r>
      <w:r w:rsidR="00107074" w:rsidRPr="00A2478D">
        <w:rPr>
          <w:rFonts w:ascii="David" w:hAnsi="David" w:cs="David"/>
          <w:sz w:val="20"/>
          <w:szCs w:val="20"/>
          <w:rtl/>
        </w:rPr>
        <w:t xml:space="preserve"> פאר הדור סימן קלב), לאור </w:t>
      </w:r>
      <w:r w:rsidR="00107074" w:rsidRPr="00A2478D">
        <w:rPr>
          <w:rFonts w:ascii="David" w:hAnsi="David" w:cs="David" w:hint="cs"/>
          <w:sz w:val="20"/>
          <w:szCs w:val="20"/>
          <w:rtl/>
        </w:rPr>
        <w:t xml:space="preserve">כמה </w:t>
      </w:r>
      <w:r w:rsidR="00107074" w:rsidRPr="00A2478D">
        <w:rPr>
          <w:rFonts w:ascii="David" w:hAnsi="David" w:cs="David"/>
          <w:sz w:val="20"/>
          <w:szCs w:val="20"/>
          <w:rtl/>
        </w:rPr>
        <w:t>גמרות: 1. הגמ</w:t>
      </w:r>
      <w:r w:rsidR="00107074" w:rsidRPr="00A2478D">
        <w:rPr>
          <w:rFonts w:ascii="David" w:hAnsi="David" w:cs="David" w:hint="cs"/>
          <w:sz w:val="20"/>
          <w:szCs w:val="20"/>
          <w:rtl/>
        </w:rPr>
        <w:t>רא</w:t>
      </w:r>
      <w:r w:rsidR="00107074" w:rsidRPr="00A2478D">
        <w:rPr>
          <w:rFonts w:ascii="David" w:hAnsi="David" w:cs="David"/>
          <w:sz w:val="20"/>
          <w:szCs w:val="20"/>
          <w:rtl/>
        </w:rPr>
        <w:t xml:space="preserve"> (קידושין כא ע"ב) דורשת לגבי היתר אשת יפת תאר במלחמה: "ת"ר: וראית בשביה, בשעת שביה; אשת, ואפילו אשת איש; יפת תואר, לא דברה תורה אלא כנגד יצר הרע, מוטב שיאכלו ישראל בשר תמותות שחוטות ואל יאכלו בשר תמותות נבילות</w:t>
      </w:r>
      <w:r w:rsidR="00107074" w:rsidRPr="00A2478D">
        <w:rPr>
          <w:rFonts w:ascii="David" w:hAnsi="David" w:cs="David" w:hint="cs"/>
          <w:sz w:val="20"/>
          <w:szCs w:val="20"/>
          <w:rtl/>
        </w:rPr>
        <w:t>";</w:t>
      </w:r>
      <w:r w:rsidR="00107074" w:rsidRPr="00A2478D">
        <w:rPr>
          <w:rFonts w:ascii="David" w:hAnsi="David" w:cs="David"/>
          <w:sz w:val="20"/>
          <w:szCs w:val="20"/>
          <w:rtl/>
        </w:rPr>
        <w:t xml:space="preserve"> 2. בגמ</w:t>
      </w:r>
      <w:r w:rsidR="00107074" w:rsidRPr="00A2478D">
        <w:rPr>
          <w:rFonts w:ascii="David" w:hAnsi="David" w:cs="David" w:hint="cs"/>
          <w:sz w:val="20"/>
          <w:szCs w:val="20"/>
          <w:rtl/>
        </w:rPr>
        <w:t>רא</w:t>
      </w:r>
      <w:r w:rsidR="00107074" w:rsidRPr="00A2478D">
        <w:rPr>
          <w:rFonts w:ascii="David" w:hAnsi="David" w:cs="David"/>
          <w:sz w:val="20"/>
          <w:szCs w:val="20"/>
          <w:rtl/>
        </w:rPr>
        <w:t xml:space="preserve"> (יומא פב ע"א) </w:t>
      </w:r>
      <w:r w:rsidR="00107074" w:rsidRPr="00A2478D">
        <w:rPr>
          <w:rFonts w:ascii="David" w:hAnsi="David" w:cs="David" w:hint="cs"/>
          <w:sz w:val="20"/>
          <w:szCs w:val="20"/>
          <w:rtl/>
        </w:rPr>
        <w:t xml:space="preserve">דרשו </w:t>
      </w:r>
      <w:r w:rsidR="00107074" w:rsidRPr="00A2478D">
        <w:rPr>
          <w:rFonts w:ascii="David" w:hAnsi="David" w:cs="David"/>
          <w:sz w:val="20"/>
          <w:szCs w:val="20"/>
          <w:rtl/>
        </w:rPr>
        <w:t>לגבי פיקוח נפש: "תנו רבנן: עוברה שהריחה בשר קודש או בשר חזיר, תוחבין לה כוש ברוטב, ומניחין לה על פיה. אם נתיישבה דעתה, מוטב, ואם לאו – מאכילין אותה רוטב עצמה, ואם נתיישבה דעתה, מוטב, ואם לאו, מאכילין אותה שומן עצמו, שאין לך דבר שעומד בפני פקוח נפש חוץ מעבודה זרה וגילוי עריות ושפיכות דמים</w:t>
      </w:r>
      <w:r w:rsidR="00107074" w:rsidRPr="00A2478D">
        <w:rPr>
          <w:rFonts w:ascii="David" w:hAnsi="David" w:cs="David" w:hint="cs"/>
          <w:sz w:val="20"/>
          <w:szCs w:val="20"/>
          <w:rtl/>
        </w:rPr>
        <w:t>"</w:t>
      </w:r>
      <w:r w:rsidR="00107074" w:rsidRPr="00A2478D">
        <w:rPr>
          <w:rFonts w:ascii="David" w:hAnsi="David" w:cs="David"/>
          <w:sz w:val="20"/>
          <w:szCs w:val="20"/>
          <w:rtl/>
        </w:rPr>
        <w:t>. ו</w:t>
      </w:r>
      <w:r w:rsidR="00107074" w:rsidRPr="00A2478D">
        <w:rPr>
          <w:rFonts w:ascii="David" w:hAnsi="David" w:cs="David" w:hint="cs"/>
          <w:sz w:val="20"/>
          <w:szCs w:val="20"/>
          <w:rtl/>
        </w:rPr>
        <w:t xml:space="preserve">מרן </w:t>
      </w:r>
      <w:r w:rsidR="00107074" w:rsidRPr="00A2478D">
        <w:rPr>
          <w:rFonts w:ascii="David" w:hAnsi="David" w:cs="David"/>
          <w:sz w:val="20"/>
          <w:szCs w:val="20"/>
          <w:rtl/>
        </w:rPr>
        <w:t xml:space="preserve">הגר"ש ישראלי (עמוד הימיני סימן יא עמ' קז והלאה) </w:t>
      </w:r>
      <w:r w:rsidR="00107074" w:rsidRPr="00A2478D">
        <w:rPr>
          <w:rFonts w:ascii="David" w:hAnsi="David" w:cs="David" w:hint="cs"/>
          <w:sz w:val="20"/>
          <w:szCs w:val="20"/>
          <w:rtl/>
        </w:rPr>
        <w:t xml:space="preserve">כתב </w:t>
      </w:r>
      <w:r w:rsidR="00107074" w:rsidRPr="00A2478D">
        <w:rPr>
          <w:rFonts w:ascii="David" w:hAnsi="David" w:cs="David"/>
          <w:sz w:val="20"/>
          <w:szCs w:val="20"/>
          <w:rtl/>
        </w:rPr>
        <w:t xml:space="preserve">על המצווה להציל מהחטא וציין שם מקרים שאף אומרים לאדם שיחטא חטא קל כדי להציל חברו מחטא חמור, כגון בהצלת רבים מעברה או כשיש ללמד זכות על החוטא שעובר עברה בגלל תנאים מסוימים, או בסכנה של המרת דת. </w:t>
      </w:r>
    </w:p>
    <w:p w14:paraId="6DDB383B" w14:textId="6BD702F1"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ד. האגרות משה (אבהע"ז חלק ב סימן ד) אסר לגייר נכרית הנשואה לכהן מ</w:t>
      </w:r>
      <w:r w:rsidR="00107074" w:rsidRPr="00A2478D">
        <w:rPr>
          <w:rFonts w:ascii="David" w:hAnsi="David" w:cs="David" w:hint="cs"/>
          <w:sz w:val="20"/>
          <w:szCs w:val="20"/>
          <w:rtl/>
        </w:rPr>
        <w:t>כמ</w:t>
      </w:r>
      <w:r w:rsidR="00107074" w:rsidRPr="00A2478D">
        <w:rPr>
          <w:rFonts w:ascii="David" w:hAnsi="David" w:cs="David"/>
          <w:sz w:val="20"/>
          <w:szCs w:val="20"/>
          <w:rtl/>
        </w:rPr>
        <w:t>ה</w:t>
      </w:r>
      <w:r w:rsidR="00107074" w:rsidRPr="00A2478D">
        <w:rPr>
          <w:rFonts w:ascii="David" w:hAnsi="David" w:cs="David" w:hint="cs"/>
          <w:sz w:val="20"/>
          <w:szCs w:val="20"/>
          <w:rtl/>
        </w:rPr>
        <w:t xml:space="preserve"> </w:t>
      </w:r>
      <w:r w:rsidR="00107074" w:rsidRPr="00A2478D">
        <w:rPr>
          <w:rFonts w:ascii="David" w:hAnsi="David" w:cs="David"/>
          <w:sz w:val="20"/>
          <w:szCs w:val="20"/>
          <w:rtl/>
        </w:rPr>
        <w:t>טעמים: א. אסור לבית הדין לגיירה, כיוון שגורמים לסייע לכהן לשא</w:t>
      </w:r>
      <w:r w:rsidR="00107074" w:rsidRPr="00A2478D">
        <w:rPr>
          <w:rFonts w:ascii="David" w:hAnsi="David" w:cs="David" w:hint="cs"/>
          <w:sz w:val="20"/>
          <w:szCs w:val="20"/>
          <w:rtl/>
        </w:rPr>
        <w:t>ת</w:t>
      </w:r>
      <w:r w:rsidR="00107074" w:rsidRPr="00A2478D">
        <w:rPr>
          <w:rFonts w:ascii="David" w:hAnsi="David" w:cs="David"/>
          <w:sz w:val="20"/>
          <w:szCs w:val="20"/>
          <w:rtl/>
        </w:rPr>
        <w:t xml:space="preserve"> גיורת, ואף שעושים זאת כדי שלא ישתמד, מכל מקום אין אומרים לאדם לחטוא </w:t>
      </w:r>
      <w:r w:rsidR="00107074" w:rsidRPr="00A2478D">
        <w:rPr>
          <w:rFonts w:ascii="David" w:hAnsi="David" w:cs="David" w:hint="cs"/>
          <w:sz w:val="20"/>
          <w:szCs w:val="20"/>
          <w:rtl/>
        </w:rPr>
        <w:t xml:space="preserve">כדי </w:t>
      </w:r>
      <w:r w:rsidR="00107074" w:rsidRPr="00A2478D">
        <w:rPr>
          <w:rFonts w:ascii="David" w:hAnsi="David" w:cs="David"/>
          <w:sz w:val="20"/>
          <w:szCs w:val="20"/>
          <w:rtl/>
        </w:rPr>
        <w:t>שיזכה חברו שלא יעשה איסור חמור כשפשע. מקורו בתוס</w:t>
      </w:r>
      <w:r w:rsidR="00107074" w:rsidRPr="00A2478D">
        <w:rPr>
          <w:rFonts w:ascii="David" w:hAnsi="David" w:cs="David" w:hint="cs"/>
          <w:sz w:val="20"/>
          <w:szCs w:val="20"/>
          <w:rtl/>
        </w:rPr>
        <w:t>פות</w:t>
      </w:r>
      <w:r w:rsidR="00107074" w:rsidRPr="00A2478D">
        <w:rPr>
          <w:rFonts w:ascii="David" w:hAnsi="David" w:cs="David"/>
          <w:sz w:val="20"/>
          <w:szCs w:val="20"/>
          <w:rtl/>
        </w:rPr>
        <w:t xml:space="preserve"> (שבת ג ע"א) </w:t>
      </w:r>
      <w:r w:rsidR="00107074" w:rsidRPr="00A2478D">
        <w:rPr>
          <w:rFonts w:ascii="David" w:hAnsi="David" w:cs="David" w:hint="cs"/>
          <w:sz w:val="20"/>
          <w:szCs w:val="20"/>
          <w:rtl/>
        </w:rPr>
        <w:t xml:space="preserve">שכתבו </w:t>
      </w:r>
      <w:r w:rsidR="00107074" w:rsidRPr="00A2478D">
        <w:rPr>
          <w:rFonts w:ascii="David" w:hAnsi="David" w:cs="David"/>
          <w:sz w:val="20"/>
          <w:szCs w:val="20"/>
          <w:rtl/>
        </w:rPr>
        <w:t>שבמקרה שאדם פשע, שייך הכלל שאין אומרים לאדם לחטוא כדי שיזכה חברו</w:t>
      </w:r>
      <w:r w:rsidR="00107074" w:rsidRPr="00A2478D">
        <w:rPr>
          <w:rFonts w:ascii="David" w:hAnsi="David" w:cs="David" w:hint="cs"/>
          <w:sz w:val="20"/>
          <w:szCs w:val="20"/>
          <w:rtl/>
        </w:rPr>
        <w:t>;</w:t>
      </w:r>
      <w:r w:rsidR="00107074" w:rsidRPr="00A2478D">
        <w:rPr>
          <w:rFonts w:ascii="David" w:hAnsi="David" w:cs="David"/>
          <w:sz w:val="20"/>
          <w:szCs w:val="20"/>
          <w:rtl/>
        </w:rPr>
        <w:t xml:space="preserve"> ב. גר צריך קבלת מצוות, וכאן </w:t>
      </w:r>
      <w:r w:rsidR="00107074" w:rsidRPr="00A2478D">
        <w:rPr>
          <w:rFonts w:ascii="David" w:hAnsi="David" w:cs="David" w:hint="cs"/>
          <w:sz w:val="20"/>
          <w:szCs w:val="20"/>
          <w:rtl/>
        </w:rPr>
        <w:t xml:space="preserve">האישה </w:t>
      </w:r>
      <w:r w:rsidR="00107074" w:rsidRPr="00A2478D">
        <w:rPr>
          <w:rFonts w:ascii="David" w:hAnsi="David" w:cs="David"/>
          <w:sz w:val="20"/>
          <w:szCs w:val="20"/>
          <w:rtl/>
        </w:rPr>
        <w:t>לא מקבלת עליה את האיסור של גיורת להינשא לכהן. אמנם התוס</w:t>
      </w:r>
      <w:r w:rsidR="00107074" w:rsidRPr="00A2478D">
        <w:rPr>
          <w:rFonts w:ascii="David" w:hAnsi="David" w:cs="David" w:hint="cs"/>
          <w:sz w:val="20"/>
          <w:szCs w:val="20"/>
          <w:rtl/>
        </w:rPr>
        <w:t>פות</w:t>
      </w:r>
      <w:r w:rsidR="00107074" w:rsidRPr="00A2478D">
        <w:rPr>
          <w:rFonts w:ascii="David" w:hAnsi="David" w:cs="David"/>
          <w:sz w:val="20"/>
          <w:szCs w:val="20"/>
          <w:rtl/>
        </w:rPr>
        <w:t xml:space="preserve"> (נדרים צ ע"ב, הובא לעיל הערה 1) </w:t>
      </w:r>
      <w:r w:rsidR="00107074" w:rsidRPr="00A2478D">
        <w:rPr>
          <w:rFonts w:ascii="David" w:hAnsi="David" w:cs="David" w:hint="cs"/>
          <w:sz w:val="20"/>
          <w:szCs w:val="20"/>
          <w:rtl/>
        </w:rPr>
        <w:t xml:space="preserve">הביאו </w:t>
      </w:r>
      <w:r w:rsidR="00107074" w:rsidRPr="00A2478D">
        <w:rPr>
          <w:rFonts w:ascii="David" w:hAnsi="David" w:cs="David"/>
          <w:sz w:val="20"/>
          <w:szCs w:val="20"/>
          <w:rtl/>
        </w:rPr>
        <w:t>את דעת רבי אליעזר ממיץ שרק כהן מוזהר על זונה, אך היא אינה מוזהרת עליו, אך התוס</w:t>
      </w:r>
      <w:r w:rsidR="00107074" w:rsidRPr="00A2478D">
        <w:rPr>
          <w:rFonts w:ascii="David" w:hAnsi="David" w:cs="David" w:hint="cs"/>
          <w:sz w:val="20"/>
          <w:szCs w:val="20"/>
          <w:rtl/>
        </w:rPr>
        <w:t>פות</w:t>
      </w:r>
      <w:r w:rsidR="00107074" w:rsidRPr="00A2478D">
        <w:rPr>
          <w:rFonts w:ascii="David" w:hAnsi="David" w:cs="David"/>
          <w:sz w:val="20"/>
          <w:szCs w:val="20"/>
          <w:rtl/>
        </w:rPr>
        <w:t xml:space="preserve"> דח</w:t>
      </w:r>
      <w:r w:rsidR="00107074" w:rsidRPr="00A2478D">
        <w:rPr>
          <w:rFonts w:ascii="David" w:hAnsi="David" w:cs="David" w:hint="cs"/>
          <w:sz w:val="20"/>
          <w:szCs w:val="20"/>
          <w:rtl/>
        </w:rPr>
        <w:t xml:space="preserve">ו את דבריו </w:t>
      </w:r>
      <w:r w:rsidR="00107074" w:rsidRPr="00A2478D">
        <w:rPr>
          <w:rFonts w:ascii="David" w:hAnsi="David" w:cs="David"/>
          <w:sz w:val="20"/>
          <w:szCs w:val="20"/>
          <w:rtl/>
        </w:rPr>
        <w:t>לאור הגמ</w:t>
      </w:r>
      <w:r w:rsidR="00107074" w:rsidRPr="00A2478D">
        <w:rPr>
          <w:rFonts w:ascii="David" w:hAnsi="David" w:cs="David" w:hint="cs"/>
          <w:sz w:val="20"/>
          <w:szCs w:val="20"/>
          <w:rtl/>
        </w:rPr>
        <w:t>רא</w:t>
      </w:r>
      <w:r w:rsidR="00107074" w:rsidRPr="00A2478D">
        <w:rPr>
          <w:rFonts w:ascii="David" w:hAnsi="David" w:cs="David"/>
          <w:sz w:val="20"/>
          <w:szCs w:val="20"/>
          <w:rtl/>
        </w:rPr>
        <w:t xml:space="preserve"> (יבמות פד ע"ב) שאומרת שכל מקום שהוא מוזהר </w:t>
      </w:r>
      <w:r w:rsidR="00107074" w:rsidRPr="00A2478D">
        <w:rPr>
          <w:rFonts w:ascii="David" w:hAnsi="David" w:cs="David" w:hint="cs"/>
          <w:sz w:val="20"/>
          <w:szCs w:val="20"/>
          <w:rtl/>
        </w:rPr>
        <w:t xml:space="preserve">– </w:t>
      </w:r>
      <w:r w:rsidR="00107074" w:rsidRPr="00A2478D">
        <w:rPr>
          <w:rFonts w:ascii="David" w:hAnsi="David" w:cs="David"/>
          <w:sz w:val="20"/>
          <w:szCs w:val="20"/>
          <w:rtl/>
        </w:rPr>
        <w:t>אף היא מוזהרת, "השוה הכתוב אשה לאיש לכל עונשין שבתורה". והוסיף האגרות משה</w:t>
      </w:r>
      <w:r w:rsidR="00107074" w:rsidRPr="00A2478D">
        <w:rPr>
          <w:rFonts w:ascii="David" w:hAnsi="David" w:cs="David" w:hint="cs"/>
          <w:sz w:val="20"/>
          <w:szCs w:val="20"/>
          <w:rtl/>
        </w:rPr>
        <w:t>:</w:t>
      </w:r>
      <w:r w:rsidR="00107074" w:rsidRPr="00A2478D">
        <w:rPr>
          <w:rFonts w:ascii="David" w:hAnsi="David" w:cs="David"/>
          <w:sz w:val="20"/>
          <w:szCs w:val="20"/>
          <w:rtl/>
        </w:rPr>
        <w:t xml:space="preserve"> "שאף שתאמר בפיה שמקבלת המצות, הוא כמעט דבר ידוע שאינה מקבלת ולא תשמור את המצות כיון דתראה שבעלה הוא עובר על כל המצות ולא תהיה עדיפא ממנו". האגרות משה </w:t>
      </w:r>
      <w:r w:rsidR="00107074" w:rsidRPr="00A2478D">
        <w:rPr>
          <w:rFonts w:ascii="David" w:hAnsi="David" w:cs="David" w:hint="cs"/>
          <w:sz w:val="20"/>
          <w:szCs w:val="20"/>
          <w:rtl/>
        </w:rPr>
        <w:t>ה</w:t>
      </w:r>
      <w:r w:rsidR="00107074" w:rsidRPr="00A2478D">
        <w:rPr>
          <w:rFonts w:ascii="David" w:hAnsi="David" w:cs="David"/>
          <w:sz w:val="20"/>
          <w:szCs w:val="20"/>
          <w:rtl/>
        </w:rPr>
        <w:t>קשה מהגמרא (יבמות מה ע"ב)</w:t>
      </w:r>
      <w:r w:rsidR="00107074" w:rsidRPr="00A2478D">
        <w:rPr>
          <w:rFonts w:ascii="David" w:hAnsi="David" w:cs="David" w:hint="cs"/>
          <w:sz w:val="20"/>
          <w:szCs w:val="20"/>
          <w:rtl/>
        </w:rPr>
        <w:t>:</w:t>
      </w:r>
      <w:r w:rsidR="00107074" w:rsidRPr="00A2478D">
        <w:rPr>
          <w:rFonts w:ascii="David" w:hAnsi="David" w:cs="David"/>
          <w:sz w:val="20"/>
          <w:szCs w:val="20"/>
          <w:rtl/>
        </w:rPr>
        <w:t xml:space="preserve"> "עבדיה דרבי חייא בר אמי אטבלה לההיא עובדת כוכבים לשם אנתתא, אמר רב יוסף: יכילנא לאכשורי בה ובברתה; בה, כדרב אסי, דאמר רב אסי: מי לא טבלה לנדותה?</w:t>
      </w:r>
      <w:r w:rsidR="00107074" w:rsidRPr="00A2478D">
        <w:rPr>
          <w:rFonts w:ascii="David" w:hAnsi="David" w:cs="David" w:hint="cs"/>
          <w:sz w:val="20"/>
          <w:szCs w:val="20"/>
          <w:rtl/>
        </w:rPr>
        <w:t>".</w:t>
      </w:r>
      <w:r w:rsidR="00107074" w:rsidRPr="00A2478D">
        <w:rPr>
          <w:rFonts w:ascii="David" w:hAnsi="David" w:cs="David"/>
          <w:sz w:val="20"/>
          <w:szCs w:val="20"/>
          <w:rtl/>
        </w:rPr>
        <w:t xml:space="preserve"> מזה משמע </w:t>
      </w:r>
      <w:r w:rsidR="00107074" w:rsidRPr="00A2478D">
        <w:rPr>
          <w:rFonts w:ascii="David" w:hAnsi="David" w:cs="David" w:hint="cs"/>
          <w:sz w:val="20"/>
          <w:szCs w:val="20"/>
          <w:rtl/>
        </w:rPr>
        <w:t xml:space="preserve">שהגיור </w:t>
      </w:r>
      <w:r w:rsidR="00107074" w:rsidRPr="00A2478D">
        <w:rPr>
          <w:rFonts w:ascii="David" w:hAnsi="David" w:cs="David"/>
          <w:sz w:val="20"/>
          <w:szCs w:val="20"/>
          <w:rtl/>
        </w:rPr>
        <w:t>חל אף שטבלה כדי להינשא לו, ונמצא שלא ק</w:t>
      </w:r>
      <w:r w:rsidR="00107074" w:rsidRPr="00A2478D">
        <w:rPr>
          <w:rFonts w:ascii="David" w:hAnsi="David" w:cs="David" w:hint="cs"/>
          <w:sz w:val="20"/>
          <w:szCs w:val="20"/>
          <w:rtl/>
        </w:rPr>
        <w:t>י</w:t>
      </w:r>
      <w:r w:rsidR="00107074" w:rsidRPr="00A2478D">
        <w:rPr>
          <w:rFonts w:ascii="David" w:hAnsi="David" w:cs="David"/>
          <w:sz w:val="20"/>
          <w:szCs w:val="20"/>
          <w:rtl/>
        </w:rPr>
        <w:t>בלה עליה את האיסור להינשא לעבד</w:t>
      </w:r>
      <w:r w:rsidR="00107074" w:rsidRPr="00A2478D">
        <w:rPr>
          <w:rFonts w:ascii="David" w:hAnsi="David" w:cs="David" w:hint="cs"/>
          <w:sz w:val="20"/>
          <w:szCs w:val="20"/>
          <w:rtl/>
        </w:rPr>
        <w:t>!</w:t>
      </w:r>
      <w:r w:rsidR="00107074" w:rsidRPr="00A2478D">
        <w:rPr>
          <w:rFonts w:ascii="David" w:hAnsi="David" w:cs="David"/>
          <w:sz w:val="20"/>
          <w:szCs w:val="20"/>
          <w:rtl/>
        </w:rPr>
        <w:t xml:space="preserve"> מתרץ האג</w:t>
      </w:r>
      <w:r w:rsidR="00107074" w:rsidRPr="00A2478D">
        <w:rPr>
          <w:rFonts w:ascii="David" w:hAnsi="David" w:cs="David" w:hint="cs"/>
          <w:sz w:val="20"/>
          <w:szCs w:val="20"/>
          <w:rtl/>
        </w:rPr>
        <w:t>רות משה:</w:t>
      </w:r>
      <w:r w:rsidR="00107074" w:rsidRPr="00A2478D">
        <w:rPr>
          <w:rFonts w:ascii="David" w:hAnsi="David" w:cs="David"/>
          <w:sz w:val="20"/>
          <w:szCs w:val="20"/>
          <w:rtl/>
        </w:rPr>
        <w:t xml:space="preserve"> "שאיכא גרות גם בלא קבלה בפה לפני ב"ד אלא במה שהתחיל לנהוג בדרכי ישראל ויודעין מזה שהוא כקבלה... ובאופן זה היה עובדא דאטבלה לשם אנתתא, דמה שראינו שנוהגת בדרכי ישראל ראינו תחלה קודם שראינו שדרה עם העבד כאשתו, ולכן נעשית גיורת גמורה מצד החזקה ושוב אינה נאמנת לומר נגד החזקה שלא קבלה איסור עבד</w:t>
      </w:r>
      <w:r w:rsidR="00107074" w:rsidRPr="00A2478D">
        <w:rPr>
          <w:rFonts w:ascii="David" w:hAnsi="David" w:cs="David" w:hint="cs"/>
          <w:sz w:val="20"/>
          <w:szCs w:val="20"/>
          <w:rtl/>
        </w:rPr>
        <w:t>"</w:t>
      </w:r>
      <w:r w:rsidR="00107074" w:rsidRPr="00A2478D">
        <w:rPr>
          <w:rFonts w:ascii="David" w:hAnsi="David" w:cs="David"/>
          <w:sz w:val="20"/>
          <w:szCs w:val="20"/>
          <w:rtl/>
        </w:rPr>
        <w:t xml:space="preserve">. אבל אין זה דומה למקרה כמו שלנו, </w:t>
      </w:r>
      <w:r w:rsidR="00107074" w:rsidRPr="00A2478D">
        <w:rPr>
          <w:rFonts w:ascii="David" w:hAnsi="David" w:cs="David" w:hint="cs"/>
          <w:sz w:val="20"/>
          <w:szCs w:val="20"/>
          <w:rtl/>
        </w:rPr>
        <w:t>ש</w:t>
      </w:r>
      <w:r w:rsidR="00107074" w:rsidRPr="00A2478D">
        <w:rPr>
          <w:rFonts w:ascii="David" w:hAnsi="David" w:cs="David"/>
          <w:sz w:val="20"/>
          <w:szCs w:val="20"/>
          <w:rtl/>
        </w:rPr>
        <w:t xml:space="preserve">בו "צריכה לגייר עתה בטבילה וקבלת מצות, שאף אם תקבל סתמא הרי הוא כידוע שאינה מקבלת איסור זה מלהנשא לכהן שאין גרותה כלום". האגרות משה </w:t>
      </w:r>
      <w:r w:rsidR="00107074" w:rsidRPr="00A2478D">
        <w:rPr>
          <w:rFonts w:ascii="David" w:hAnsi="David" w:cs="David" w:hint="cs"/>
          <w:sz w:val="20"/>
          <w:szCs w:val="20"/>
          <w:rtl/>
        </w:rPr>
        <w:t>ה</w:t>
      </w:r>
      <w:r w:rsidR="00107074" w:rsidRPr="00A2478D">
        <w:rPr>
          <w:rFonts w:ascii="David" w:hAnsi="David" w:cs="David"/>
          <w:sz w:val="20"/>
          <w:szCs w:val="20"/>
          <w:rtl/>
        </w:rPr>
        <w:t xml:space="preserve">וסיף וטען שכאן </w:t>
      </w:r>
      <w:r w:rsidR="00107074" w:rsidRPr="00A2478D">
        <w:rPr>
          <w:rFonts w:ascii="David" w:hAnsi="David" w:cs="David" w:hint="cs"/>
          <w:sz w:val="20"/>
          <w:szCs w:val="20"/>
          <w:rtl/>
        </w:rPr>
        <w:t xml:space="preserve">הגיור </w:t>
      </w:r>
      <w:r w:rsidR="00107074" w:rsidRPr="00A2478D">
        <w:rPr>
          <w:rFonts w:ascii="David" w:hAnsi="David" w:cs="David"/>
          <w:sz w:val="20"/>
          <w:szCs w:val="20"/>
          <w:rtl/>
        </w:rPr>
        <w:t xml:space="preserve">לא </w:t>
      </w:r>
      <w:r w:rsidR="00107074" w:rsidRPr="00A2478D">
        <w:rPr>
          <w:rFonts w:ascii="David" w:hAnsi="David" w:cs="David" w:hint="cs"/>
          <w:sz w:val="20"/>
          <w:szCs w:val="20"/>
          <w:rtl/>
        </w:rPr>
        <w:t>י</w:t>
      </w:r>
      <w:r w:rsidR="00107074" w:rsidRPr="00A2478D">
        <w:rPr>
          <w:rFonts w:ascii="David" w:hAnsi="David" w:cs="David"/>
          <w:sz w:val="20"/>
          <w:szCs w:val="20"/>
          <w:rtl/>
        </w:rPr>
        <w:t>ועיל להציל את הכהן מאיסורים, שהרי כיוון שלא ימשיכו לשמור מצוות, נמצא שעובר על איסור נידה דאור</w:t>
      </w:r>
      <w:r w:rsidR="00107074" w:rsidRPr="00A2478D">
        <w:rPr>
          <w:rFonts w:ascii="David" w:hAnsi="David" w:cs="David" w:hint="cs"/>
          <w:sz w:val="20"/>
          <w:szCs w:val="20"/>
          <w:rtl/>
        </w:rPr>
        <w:t>י</w:t>
      </w:r>
      <w:r w:rsidR="00107074" w:rsidRPr="00A2478D">
        <w:rPr>
          <w:rFonts w:ascii="David" w:hAnsi="David" w:cs="David"/>
          <w:sz w:val="20"/>
          <w:szCs w:val="20"/>
          <w:rtl/>
        </w:rPr>
        <w:t xml:space="preserve">יתא שהוא חיוב כרת, ואילו כשחי עם נכרייה עוברים רק על הלאו </w:t>
      </w:r>
      <w:r w:rsidR="00107074" w:rsidRPr="00A2478D">
        <w:rPr>
          <w:rFonts w:ascii="David" w:hAnsi="David" w:cs="David" w:hint="cs"/>
          <w:sz w:val="20"/>
          <w:szCs w:val="20"/>
          <w:rtl/>
        </w:rPr>
        <w:t>"</w:t>
      </w:r>
      <w:r w:rsidR="00107074" w:rsidRPr="00A2478D">
        <w:rPr>
          <w:rFonts w:ascii="David" w:hAnsi="David" w:cs="David"/>
          <w:sz w:val="20"/>
          <w:szCs w:val="20"/>
          <w:rtl/>
        </w:rPr>
        <w:t>לא תתחתן בם</w:t>
      </w:r>
      <w:r w:rsidR="00107074" w:rsidRPr="00A2478D">
        <w:rPr>
          <w:rFonts w:ascii="David" w:hAnsi="David" w:cs="David" w:hint="cs"/>
          <w:sz w:val="20"/>
          <w:szCs w:val="20"/>
          <w:rtl/>
        </w:rPr>
        <w:t>"</w:t>
      </w:r>
      <w:r w:rsidR="00107074" w:rsidRPr="00A2478D">
        <w:rPr>
          <w:rFonts w:ascii="David" w:hAnsi="David" w:cs="David"/>
          <w:sz w:val="20"/>
          <w:szCs w:val="20"/>
          <w:rtl/>
        </w:rPr>
        <w:t xml:space="preserve">. </w:t>
      </w:r>
    </w:p>
    <w:p w14:paraId="0E09156B" w14:textId="3298C8FE"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אמנם ציין</w:t>
      </w:r>
      <w:r w:rsidR="00107074" w:rsidRPr="00A2478D">
        <w:rPr>
          <w:rFonts w:ascii="David" w:hAnsi="David" w:cs="David" w:hint="cs"/>
          <w:sz w:val="20"/>
          <w:szCs w:val="20"/>
          <w:rtl/>
        </w:rPr>
        <w:t xml:space="preserve"> כמה נקודות</w:t>
      </w:r>
      <w:r w:rsidR="00107074" w:rsidRPr="00A2478D">
        <w:rPr>
          <w:rFonts w:ascii="David" w:hAnsi="David" w:cs="David"/>
          <w:sz w:val="20"/>
          <w:szCs w:val="20"/>
          <w:rtl/>
        </w:rPr>
        <w:t>: 1. כשגרים בקרב יהודים נחשב החי עם נכרית כעובר עברה בפרהסי</w:t>
      </w:r>
      <w:r w:rsidR="00107074" w:rsidRPr="00A2478D">
        <w:rPr>
          <w:rFonts w:ascii="David" w:hAnsi="David" w:cs="David" w:hint="cs"/>
          <w:sz w:val="20"/>
          <w:szCs w:val="20"/>
          <w:rtl/>
        </w:rPr>
        <w:t>ה,</w:t>
      </w:r>
      <w:r w:rsidR="00107074" w:rsidRPr="00A2478D">
        <w:rPr>
          <w:rFonts w:ascii="David" w:hAnsi="David" w:cs="David"/>
          <w:sz w:val="20"/>
          <w:szCs w:val="20"/>
          <w:rtl/>
        </w:rPr>
        <w:t xml:space="preserve"> שקנאים פוגעים בו, וחומרתו גם כנגד כרת; 2. גם יהיה בזה "כרת דדברי קבלה", כדברי הגמ</w:t>
      </w:r>
      <w:r w:rsidR="00107074" w:rsidRPr="00A2478D">
        <w:rPr>
          <w:rFonts w:ascii="David" w:hAnsi="David" w:cs="David" w:hint="cs"/>
          <w:sz w:val="20"/>
          <w:szCs w:val="20"/>
          <w:rtl/>
        </w:rPr>
        <w:t>רא</w:t>
      </w:r>
      <w:r w:rsidR="00107074" w:rsidRPr="00A2478D">
        <w:rPr>
          <w:rFonts w:ascii="David" w:hAnsi="David" w:cs="David"/>
          <w:sz w:val="20"/>
          <w:szCs w:val="20"/>
          <w:rtl/>
        </w:rPr>
        <w:t xml:space="preserve"> בסנהדרין פב ע"א שלומדת מהפסוק במלאכי ב,</w:t>
      </w:r>
      <w:r w:rsidR="00107074" w:rsidRPr="00A2478D">
        <w:rPr>
          <w:rFonts w:ascii="David" w:hAnsi="David" w:cs="David" w:hint="cs"/>
          <w:sz w:val="20"/>
          <w:szCs w:val="20"/>
          <w:rtl/>
        </w:rPr>
        <w:t xml:space="preserve"> </w:t>
      </w:r>
      <w:r w:rsidR="00107074" w:rsidRPr="00A2478D">
        <w:rPr>
          <w:rFonts w:ascii="David" w:hAnsi="David" w:cs="David"/>
          <w:sz w:val="20"/>
          <w:szCs w:val="20"/>
          <w:rtl/>
        </w:rPr>
        <w:t>יא-יב "ובעל בת אל נכר, זה הבא על הנכרית, וכתיב בתריה: יכרת ה' לאיש אשר יעשנה ער וענה מאהלי יעקב ומגיש מנחה לה' צבאות"; 3. עצם נישואיו עם הגויה – מלבד ש</w:t>
      </w:r>
      <w:r w:rsidR="00107074" w:rsidRPr="00A2478D">
        <w:rPr>
          <w:rFonts w:ascii="David" w:hAnsi="David" w:cs="David" w:hint="cs"/>
          <w:sz w:val="20"/>
          <w:szCs w:val="20"/>
          <w:rtl/>
        </w:rPr>
        <w:t>עובר על ה</w:t>
      </w:r>
      <w:r w:rsidR="00107074" w:rsidRPr="00A2478D">
        <w:rPr>
          <w:rFonts w:ascii="David" w:hAnsi="David" w:cs="David"/>
          <w:sz w:val="20"/>
          <w:szCs w:val="20"/>
          <w:rtl/>
        </w:rPr>
        <w:t xml:space="preserve">לאו </w:t>
      </w:r>
      <w:r w:rsidR="00107074" w:rsidRPr="00A2478D">
        <w:rPr>
          <w:rFonts w:ascii="David" w:hAnsi="David" w:cs="David" w:hint="cs"/>
          <w:sz w:val="20"/>
          <w:szCs w:val="20"/>
          <w:rtl/>
        </w:rPr>
        <w:t>"</w:t>
      </w:r>
      <w:r w:rsidR="00107074" w:rsidRPr="00A2478D">
        <w:rPr>
          <w:rFonts w:ascii="David" w:hAnsi="David" w:cs="David"/>
          <w:sz w:val="20"/>
          <w:szCs w:val="20"/>
          <w:rtl/>
        </w:rPr>
        <w:t>לא תתחתן בם</w:t>
      </w:r>
      <w:r w:rsidR="00107074" w:rsidRPr="00A2478D">
        <w:rPr>
          <w:rFonts w:ascii="David" w:hAnsi="David" w:cs="David" w:hint="cs"/>
          <w:sz w:val="20"/>
          <w:szCs w:val="20"/>
          <w:rtl/>
        </w:rPr>
        <w:t>"</w:t>
      </w:r>
      <w:r w:rsidR="00107074" w:rsidRPr="00A2478D">
        <w:rPr>
          <w:rFonts w:ascii="David" w:hAnsi="David" w:cs="David"/>
          <w:sz w:val="20"/>
          <w:szCs w:val="20"/>
          <w:rtl/>
        </w:rPr>
        <w:t xml:space="preserve"> ולאו של </w:t>
      </w:r>
      <w:r w:rsidR="00107074" w:rsidRPr="00A2478D">
        <w:rPr>
          <w:rFonts w:ascii="David" w:hAnsi="David" w:cs="David" w:hint="cs"/>
          <w:sz w:val="20"/>
          <w:szCs w:val="20"/>
          <w:rtl/>
        </w:rPr>
        <w:t>"</w:t>
      </w:r>
      <w:r w:rsidR="00107074" w:rsidRPr="00A2478D">
        <w:rPr>
          <w:rFonts w:ascii="David" w:hAnsi="David" w:cs="David"/>
          <w:sz w:val="20"/>
          <w:szCs w:val="20"/>
          <w:rtl/>
        </w:rPr>
        <w:t>זונה</w:t>
      </w:r>
      <w:r w:rsidR="00107074" w:rsidRPr="00A2478D">
        <w:rPr>
          <w:rFonts w:ascii="David" w:hAnsi="David" w:cs="David" w:hint="cs"/>
          <w:sz w:val="20"/>
          <w:szCs w:val="20"/>
          <w:rtl/>
        </w:rPr>
        <w:t>"</w:t>
      </w:r>
      <w:r w:rsidR="00107074" w:rsidRPr="00A2478D">
        <w:rPr>
          <w:rFonts w:ascii="David" w:hAnsi="David" w:cs="David"/>
          <w:sz w:val="20"/>
          <w:szCs w:val="20"/>
          <w:rtl/>
        </w:rPr>
        <w:t>, כתב הרמב"ם (הל</w:t>
      </w:r>
      <w:r w:rsidR="00107074" w:rsidRPr="00A2478D">
        <w:rPr>
          <w:rFonts w:ascii="David" w:hAnsi="David" w:cs="David" w:hint="cs"/>
          <w:sz w:val="20"/>
          <w:szCs w:val="20"/>
          <w:rtl/>
        </w:rPr>
        <w:t>כות</w:t>
      </w:r>
      <w:r w:rsidR="00107074" w:rsidRPr="00A2478D">
        <w:rPr>
          <w:rFonts w:ascii="David" w:hAnsi="David" w:cs="David"/>
          <w:sz w:val="20"/>
          <w:szCs w:val="20"/>
          <w:rtl/>
        </w:rPr>
        <w:t xml:space="preserve"> איסורי ביאה יב,</w:t>
      </w:r>
      <w:r w:rsidR="00107074" w:rsidRPr="00A2478D">
        <w:rPr>
          <w:rFonts w:ascii="David" w:hAnsi="David" w:cs="David" w:hint="cs"/>
          <w:sz w:val="20"/>
          <w:szCs w:val="20"/>
          <w:rtl/>
        </w:rPr>
        <w:t xml:space="preserve"> </w:t>
      </w:r>
      <w:r w:rsidR="00107074" w:rsidRPr="00A2478D">
        <w:rPr>
          <w:rFonts w:ascii="David" w:hAnsi="David" w:cs="David"/>
          <w:sz w:val="20"/>
          <w:szCs w:val="20"/>
          <w:rtl/>
        </w:rPr>
        <w:t>ז</w:t>
      </w:r>
      <w:r w:rsidR="00107074" w:rsidRPr="00A2478D">
        <w:rPr>
          <w:rFonts w:ascii="David" w:hAnsi="David" w:cs="David" w:hint="cs"/>
          <w:sz w:val="20"/>
          <w:szCs w:val="20"/>
          <w:rtl/>
        </w:rPr>
        <w:t>):</w:t>
      </w:r>
      <w:r w:rsidR="00107074" w:rsidRPr="00A2478D">
        <w:rPr>
          <w:rFonts w:ascii="David" w:hAnsi="David" w:cs="David"/>
          <w:sz w:val="20"/>
          <w:szCs w:val="20"/>
          <w:rtl/>
        </w:rPr>
        <w:t xml:space="preserve"> "עוון זה אף על פי שאין בו מיתת בי"ד אל יהי קל בעיניך, אלא יש בו הפסד שאין בכל העריות כמותו, שהבן מן הערוה בנו הוא לכל דבר ובכלל ישראל נחשב אף על פי שהוא ממזר והבן מן הכותית אינו בנו, שנאמר כי יסיר את בנך מאחרי, מסיר אותו מלהיות אחרי ה'". לכן חיי הכהן עם נכר</w:t>
      </w:r>
      <w:r w:rsidR="00107074" w:rsidRPr="00A2478D">
        <w:rPr>
          <w:rFonts w:ascii="David" w:hAnsi="David" w:cs="David" w:hint="cs"/>
          <w:sz w:val="20"/>
          <w:szCs w:val="20"/>
          <w:rtl/>
        </w:rPr>
        <w:t>י</w:t>
      </w:r>
      <w:r w:rsidR="00107074" w:rsidRPr="00A2478D">
        <w:rPr>
          <w:rFonts w:ascii="David" w:hAnsi="David" w:cs="David"/>
          <w:sz w:val="20"/>
          <w:szCs w:val="20"/>
          <w:rtl/>
        </w:rPr>
        <w:t>יה חמורים ממה שיחיה עם גיורת</w:t>
      </w:r>
      <w:r w:rsidR="00107074" w:rsidRPr="00A2478D">
        <w:rPr>
          <w:rFonts w:ascii="David" w:hAnsi="David" w:cs="David" w:hint="cs"/>
          <w:sz w:val="20"/>
          <w:szCs w:val="20"/>
          <w:rtl/>
        </w:rPr>
        <w:t>,</w:t>
      </w:r>
      <w:r w:rsidR="00107074" w:rsidRPr="00A2478D">
        <w:rPr>
          <w:rFonts w:ascii="David" w:hAnsi="David" w:cs="David"/>
          <w:sz w:val="20"/>
          <w:szCs w:val="20"/>
          <w:rtl/>
        </w:rPr>
        <w:t xml:space="preserve"> ש</w:t>
      </w:r>
      <w:r w:rsidR="00107074" w:rsidRPr="00A2478D">
        <w:rPr>
          <w:rFonts w:ascii="David" w:hAnsi="David" w:cs="David" w:hint="cs"/>
          <w:sz w:val="20"/>
          <w:szCs w:val="20"/>
          <w:rtl/>
        </w:rPr>
        <w:t xml:space="preserve">אז </w:t>
      </w:r>
      <w:r w:rsidR="00107074" w:rsidRPr="00A2478D">
        <w:rPr>
          <w:rFonts w:ascii="David" w:hAnsi="David" w:cs="David"/>
          <w:sz w:val="20"/>
          <w:szCs w:val="20"/>
          <w:rtl/>
        </w:rPr>
        <w:t xml:space="preserve">יש רק איסור זונה ואיסור כרת של נידה. </w:t>
      </w:r>
    </w:p>
    <w:p w14:paraId="0D875628" w14:textId="2A63926A"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ומכל מקום סיים האגרות משה</w:t>
      </w:r>
      <w:r w:rsidR="00107074" w:rsidRPr="00A2478D">
        <w:rPr>
          <w:rFonts w:ascii="David" w:hAnsi="David" w:cs="David" w:hint="cs"/>
          <w:sz w:val="20"/>
          <w:szCs w:val="20"/>
          <w:rtl/>
        </w:rPr>
        <w:t>:</w:t>
      </w:r>
      <w:r w:rsidR="00107074" w:rsidRPr="00A2478D">
        <w:rPr>
          <w:rFonts w:ascii="David" w:hAnsi="David" w:cs="David"/>
          <w:sz w:val="20"/>
          <w:szCs w:val="20"/>
          <w:rtl/>
        </w:rPr>
        <w:t xml:space="preserve"> "ומה שהביא כתר"ה שבמלמד להועיל כתב שאין זה עכוב בקבלת מצות, אין זה לע"ד כדכתבתי. וספר מלמד להועיל אין אצלי לעיין בו. סוף דבר לעניות דעתי אין כדאי להזדקק לזה". </w:t>
      </w:r>
    </w:p>
    <w:p w14:paraId="1C00FD6C" w14:textId="48F4B3B1"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ה. הרב הרצוג (היכל יצחק אבהע"ז ח</w:t>
      </w:r>
      <w:r w:rsidR="00107074" w:rsidRPr="00A2478D">
        <w:rPr>
          <w:rFonts w:ascii="David" w:hAnsi="David" w:cs="David" w:hint="cs"/>
          <w:sz w:val="20"/>
          <w:szCs w:val="20"/>
          <w:rtl/>
        </w:rPr>
        <w:t xml:space="preserve">לק </w:t>
      </w:r>
      <w:r w:rsidR="00107074" w:rsidRPr="00A2478D">
        <w:rPr>
          <w:rFonts w:ascii="David" w:hAnsi="David" w:cs="David"/>
          <w:sz w:val="20"/>
          <w:szCs w:val="20"/>
          <w:rtl/>
        </w:rPr>
        <w:t>א סימן יט) דן לגבי כהן הנשוי בנישואים אזרחיים עם נכרית, נולדו להם כמה בנים וכעת היא רוצה להתגייר. במסקנת התשובה כתב שאין לגיירה מ</w:t>
      </w:r>
      <w:r w:rsidR="00107074" w:rsidRPr="00A2478D">
        <w:rPr>
          <w:rFonts w:ascii="David" w:hAnsi="David" w:cs="David" w:hint="cs"/>
          <w:sz w:val="20"/>
          <w:szCs w:val="20"/>
          <w:rtl/>
        </w:rPr>
        <w:t>כמ</w:t>
      </w:r>
      <w:r w:rsidR="00107074" w:rsidRPr="00A2478D">
        <w:rPr>
          <w:rFonts w:ascii="David" w:hAnsi="David" w:cs="David"/>
          <w:sz w:val="20"/>
          <w:szCs w:val="20"/>
          <w:rtl/>
        </w:rPr>
        <w:t>ה</w:t>
      </w:r>
      <w:r w:rsidR="00107074" w:rsidRPr="00A2478D">
        <w:rPr>
          <w:rFonts w:ascii="David" w:hAnsi="David" w:cs="David" w:hint="cs"/>
          <w:sz w:val="20"/>
          <w:szCs w:val="20"/>
          <w:rtl/>
        </w:rPr>
        <w:t xml:space="preserve"> </w:t>
      </w:r>
      <w:r w:rsidR="00107074" w:rsidRPr="00A2478D">
        <w:rPr>
          <w:rFonts w:ascii="David" w:hAnsi="David" w:cs="David"/>
          <w:sz w:val="20"/>
          <w:szCs w:val="20"/>
          <w:rtl/>
        </w:rPr>
        <w:t>טעמים: 1. יהיה נראה שבית הדין מקילים באיסור גיורת לכהן, שהרי גלוי וידוע שימשיכו לדור יחד</w:t>
      </w:r>
      <w:r w:rsidR="00107074" w:rsidRPr="00A2478D">
        <w:rPr>
          <w:rFonts w:ascii="David" w:hAnsi="David" w:cs="David" w:hint="cs"/>
          <w:sz w:val="20"/>
          <w:szCs w:val="20"/>
          <w:rtl/>
        </w:rPr>
        <w:t>;</w:t>
      </w:r>
      <w:r w:rsidR="00107074" w:rsidRPr="00A2478D">
        <w:rPr>
          <w:rFonts w:ascii="David" w:hAnsi="David" w:cs="David"/>
          <w:sz w:val="20"/>
          <w:szCs w:val="20"/>
          <w:rtl/>
        </w:rPr>
        <w:t xml:space="preserve"> 2. יהיה נראה כאילו בית הדין מסכימים לחיי אישות בלי חופה וקידושין, וכבר בעל העקדה (הובאו דבריו לעיל בתחילת ההערה בדיון בשיטתו של הרד"צ הופמן) יצא כנגד בית דין וקהל שרצו לתקן מקווה לזונות כדי להציל אותן ואת בועליהן מאיסור נידה</w:t>
      </w:r>
      <w:r w:rsidR="00107074" w:rsidRPr="00A2478D">
        <w:rPr>
          <w:rFonts w:ascii="David" w:hAnsi="David" w:cs="David" w:hint="cs"/>
          <w:sz w:val="20"/>
          <w:szCs w:val="20"/>
          <w:rtl/>
        </w:rPr>
        <w:t>;</w:t>
      </w:r>
      <w:r w:rsidR="00107074" w:rsidRPr="00A2478D">
        <w:rPr>
          <w:rFonts w:ascii="David" w:hAnsi="David" w:cs="David"/>
          <w:sz w:val="20"/>
          <w:szCs w:val="20"/>
          <w:rtl/>
        </w:rPr>
        <w:t xml:space="preserve"> 3. כשיהיו יחד בלי חופה וקידושין רחוק שישמרו דיני נידה וטבילה, ומכניסים אותם לחטא חמור ופגם בזרעם</w:t>
      </w:r>
      <w:r w:rsidR="00107074" w:rsidRPr="00A2478D">
        <w:rPr>
          <w:rFonts w:ascii="David" w:hAnsi="David" w:cs="David" w:hint="cs"/>
          <w:sz w:val="20"/>
          <w:szCs w:val="20"/>
          <w:rtl/>
        </w:rPr>
        <w:t>;</w:t>
      </w:r>
      <w:r w:rsidR="00107074" w:rsidRPr="00A2478D">
        <w:rPr>
          <w:rFonts w:ascii="David" w:hAnsi="David" w:cs="David"/>
          <w:sz w:val="20"/>
          <w:szCs w:val="20"/>
          <w:rtl/>
        </w:rPr>
        <w:t xml:space="preserve"> 4. ייגרם </w:t>
      </w:r>
      <w:r w:rsidR="00107074" w:rsidRPr="00A2478D">
        <w:rPr>
          <w:rFonts w:ascii="David" w:hAnsi="David" w:cs="David" w:hint="cs"/>
          <w:sz w:val="20"/>
          <w:szCs w:val="20"/>
          <w:rtl/>
        </w:rPr>
        <w:t xml:space="preserve">מזה שיתרבו </w:t>
      </w:r>
      <w:r w:rsidR="00107074" w:rsidRPr="00A2478D">
        <w:rPr>
          <w:rFonts w:ascii="David" w:hAnsi="David" w:cs="David"/>
          <w:sz w:val="20"/>
          <w:szCs w:val="20"/>
          <w:rtl/>
        </w:rPr>
        <w:t>חללים בישראל, שאיסור זה פחות ידוע מאשר איסור נישואי תערובת של ישראל וגוי. ולכן סיים שעדיף לגייר עכשיו רק את הילדים, "עד אשר יערה עליהם רוח טהרה לפרוש זה מזה בהחלט, ואז נגייר אותה ותינשא לישראל" (ובסימן יז</w:t>
      </w:r>
      <w:r w:rsidR="00107074" w:rsidRPr="00A2478D">
        <w:rPr>
          <w:rFonts w:ascii="David" w:hAnsi="David" w:cs="David" w:hint="cs"/>
          <w:sz w:val="20"/>
          <w:szCs w:val="20"/>
          <w:rtl/>
        </w:rPr>
        <w:t>,</w:t>
      </w:r>
      <w:r w:rsidR="00107074" w:rsidRPr="00A2478D">
        <w:rPr>
          <w:rFonts w:ascii="David" w:hAnsi="David" w:cs="David"/>
          <w:sz w:val="20"/>
          <w:szCs w:val="20"/>
          <w:rtl/>
        </w:rPr>
        <w:t xml:space="preserve"> שבו אמנם צידד להיתר כש</w:t>
      </w:r>
      <w:r w:rsidR="00107074" w:rsidRPr="00A2478D">
        <w:rPr>
          <w:rFonts w:ascii="David" w:hAnsi="David" w:cs="David" w:hint="cs"/>
          <w:sz w:val="20"/>
          <w:szCs w:val="20"/>
          <w:rtl/>
        </w:rPr>
        <w:t xml:space="preserve">הגיור </w:t>
      </w:r>
      <w:r w:rsidR="00107074" w:rsidRPr="00A2478D">
        <w:rPr>
          <w:rFonts w:ascii="David" w:hAnsi="David" w:cs="David"/>
          <w:sz w:val="20"/>
          <w:szCs w:val="20"/>
          <w:rtl/>
        </w:rPr>
        <w:t xml:space="preserve">היה רק מספק, וכפי שנביא להלן, אבל בתוך הדברים גם ביאר שאם </w:t>
      </w:r>
      <w:r w:rsidR="00107074" w:rsidRPr="00A2478D">
        <w:rPr>
          <w:rFonts w:ascii="David" w:hAnsi="David" w:cs="David" w:hint="cs"/>
          <w:sz w:val="20"/>
          <w:szCs w:val="20"/>
          <w:rtl/>
        </w:rPr>
        <w:t xml:space="preserve">הגיור </w:t>
      </w:r>
      <w:r w:rsidR="00107074" w:rsidRPr="00A2478D">
        <w:rPr>
          <w:rFonts w:ascii="David" w:hAnsi="David" w:cs="David"/>
          <w:sz w:val="20"/>
          <w:szCs w:val="20"/>
          <w:rtl/>
        </w:rPr>
        <w:t>נצר</w:t>
      </w:r>
      <w:r w:rsidR="00107074" w:rsidRPr="00A2478D">
        <w:rPr>
          <w:rFonts w:ascii="David" w:hAnsi="David" w:cs="David" w:hint="cs"/>
          <w:sz w:val="20"/>
          <w:szCs w:val="20"/>
          <w:rtl/>
        </w:rPr>
        <w:t>ך</w:t>
      </w:r>
      <w:r w:rsidR="00107074" w:rsidRPr="00A2478D">
        <w:rPr>
          <w:rFonts w:ascii="David" w:hAnsi="David" w:cs="David"/>
          <w:sz w:val="20"/>
          <w:szCs w:val="20"/>
          <w:rtl/>
        </w:rPr>
        <w:t xml:space="preserve"> ודאי – אין מקום להתיר, למרות כל יתר הסברות להקל).</w:t>
      </w:r>
    </w:p>
    <w:p w14:paraId="6D06D73F" w14:textId="6E9E5634"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ו. האחיעזר כתב (חלק ג סימן כח) שראוי למעשה שלא לגיירה, אף שבזה היה מפחית ממנו עונש כרת, מ</w:t>
      </w:r>
      <w:r w:rsidR="00107074" w:rsidRPr="00A2478D">
        <w:rPr>
          <w:rFonts w:ascii="David" w:hAnsi="David" w:cs="David" w:hint="cs"/>
          <w:sz w:val="20"/>
          <w:szCs w:val="20"/>
          <w:rtl/>
        </w:rPr>
        <w:t>כמ</w:t>
      </w:r>
      <w:r w:rsidR="00107074" w:rsidRPr="00A2478D">
        <w:rPr>
          <w:rFonts w:ascii="David" w:hAnsi="David" w:cs="David"/>
          <w:sz w:val="20"/>
          <w:szCs w:val="20"/>
          <w:rtl/>
        </w:rPr>
        <w:t>ה</w:t>
      </w:r>
      <w:r w:rsidR="00107074" w:rsidRPr="00A2478D">
        <w:rPr>
          <w:rFonts w:ascii="David" w:hAnsi="David" w:cs="David" w:hint="cs"/>
          <w:sz w:val="20"/>
          <w:szCs w:val="20"/>
          <w:rtl/>
        </w:rPr>
        <w:t xml:space="preserve"> </w:t>
      </w:r>
      <w:r w:rsidR="00107074" w:rsidRPr="00A2478D">
        <w:rPr>
          <w:rFonts w:ascii="David" w:hAnsi="David" w:cs="David"/>
          <w:sz w:val="20"/>
          <w:szCs w:val="20"/>
          <w:rtl/>
        </w:rPr>
        <w:t>טעמים: א. לפני הגרות אין על הנכרית שום איסור לכהן, ואילו כשתתגייר גם היא תהיה אסורה לכהן משום זונה, שהרי כגיורת היא מוזהרת על כל המצוות הנהוגות בישראל, והזונה מוזהרת להינשא לכהן, ולוקה על כך</w:t>
      </w:r>
      <w:r w:rsidR="00107074" w:rsidRPr="00A2478D">
        <w:rPr>
          <w:rFonts w:ascii="David" w:hAnsi="David" w:cs="David" w:hint="cs"/>
          <w:sz w:val="20"/>
          <w:szCs w:val="20"/>
          <w:rtl/>
        </w:rPr>
        <w:t>;</w:t>
      </w:r>
      <w:r w:rsidR="00107074" w:rsidRPr="00A2478D">
        <w:rPr>
          <w:rFonts w:ascii="David" w:hAnsi="David" w:cs="David"/>
          <w:sz w:val="20"/>
          <w:szCs w:val="20"/>
          <w:rtl/>
        </w:rPr>
        <w:t xml:space="preserve"> ב. יתווסף עליהם </w:t>
      </w:r>
      <w:r w:rsidR="00107074" w:rsidRPr="00A2478D">
        <w:rPr>
          <w:rFonts w:ascii="David" w:hAnsi="David" w:cs="David" w:hint="cs"/>
          <w:sz w:val="20"/>
          <w:szCs w:val="20"/>
          <w:rtl/>
        </w:rPr>
        <w:t>ה</w:t>
      </w:r>
      <w:r w:rsidR="00107074" w:rsidRPr="00A2478D">
        <w:rPr>
          <w:rFonts w:ascii="David" w:hAnsi="David" w:cs="David"/>
          <w:sz w:val="20"/>
          <w:szCs w:val="20"/>
          <w:rtl/>
        </w:rPr>
        <w:t xml:space="preserve">איסור </w:t>
      </w:r>
      <w:r w:rsidR="00107074" w:rsidRPr="00A2478D">
        <w:rPr>
          <w:rFonts w:ascii="David" w:hAnsi="David" w:cs="David" w:hint="cs"/>
          <w:sz w:val="20"/>
          <w:szCs w:val="20"/>
          <w:rtl/>
        </w:rPr>
        <w:t>"</w:t>
      </w:r>
      <w:r w:rsidR="00107074" w:rsidRPr="00A2478D">
        <w:rPr>
          <w:rFonts w:ascii="David" w:hAnsi="David" w:cs="David"/>
          <w:sz w:val="20"/>
          <w:szCs w:val="20"/>
          <w:rtl/>
        </w:rPr>
        <w:t>ולא יחלל זרעו בעמיו</w:t>
      </w:r>
      <w:r w:rsidR="00107074" w:rsidRPr="00A2478D">
        <w:rPr>
          <w:rFonts w:ascii="David" w:hAnsi="David" w:cs="David" w:hint="cs"/>
          <w:sz w:val="20"/>
          <w:szCs w:val="20"/>
          <w:rtl/>
        </w:rPr>
        <w:t>"</w:t>
      </w:r>
      <w:r w:rsidR="00107074" w:rsidRPr="00A2478D">
        <w:rPr>
          <w:rFonts w:ascii="David" w:hAnsi="David" w:cs="David"/>
          <w:sz w:val="20"/>
          <w:szCs w:val="20"/>
          <w:rtl/>
        </w:rPr>
        <w:t>, שכל זונה שנ</w:t>
      </w:r>
      <w:r w:rsidR="00107074" w:rsidRPr="00A2478D">
        <w:rPr>
          <w:rFonts w:ascii="David" w:hAnsi="David" w:cs="David" w:hint="cs"/>
          <w:sz w:val="20"/>
          <w:szCs w:val="20"/>
          <w:rtl/>
        </w:rPr>
        <w:t>י</w:t>
      </w:r>
      <w:r w:rsidR="00107074" w:rsidRPr="00A2478D">
        <w:rPr>
          <w:rFonts w:ascii="David" w:hAnsi="David" w:cs="David"/>
          <w:sz w:val="20"/>
          <w:szCs w:val="20"/>
          <w:rtl/>
        </w:rPr>
        <w:t xml:space="preserve">שאת לכהן </w:t>
      </w:r>
      <w:r w:rsidR="00107074" w:rsidRPr="00A2478D">
        <w:rPr>
          <w:rFonts w:ascii="David" w:hAnsi="David" w:cs="David" w:hint="cs"/>
          <w:sz w:val="20"/>
          <w:szCs w:val="20"/>
          <w:rtl/>
        </w:rPr>
        <w:t>ה</w:t>
      </w:r>
      <w:r w:rsidR="00107074" w:rsidRPr="00A2478D">
        <w:rPr>
          <w:rFonts w:ascii="David" w:hAnsi="David" w:cs="David"/>
          <w:sz w:val="20"/>
          <w:szCs w:val="20"/>
          <w:rtl/>
        </w:rPr>
        <w:t>תחללה בביאתו, וזרעו ממנה חללים. אמנם האחיעזר</w:t>
      </w:r>
      <w:r w:rsidR="00107074" w:rsidRPr="00A2478D">
        <w:rPr>
          <w:rFonts w:ascii="David" w:hAnsi="David" w:cs="David" w:hint="cs"/>
          <w:sz w:val="20"/>
          <w:szCs w:val="20"/>
          <w:rtl/>
        </w:rPr>
        <w:t xml:space="preserve"> כתב בסוף דבריו</w:t>
      </w:r>
      <w:r w:rsidR="00107074" w:rsidRPr="00A2478D">
        <w:rPr>
          <w:rFonts w:ascii="David" w:hAnsi="David" w:cs="David"/>
          <w:sz w:val="20"/>
          <w:szCs w:val="20"/>
          <w:rtl/>
        </w:rPr>
        <w:t xml:space="preserve"> שאף שאין לבית דין כשר להיזקק ל</w:t>
      </w:r>
      <w:r w:rsidR="00107074">
        <w:rPr>
          <w:rFonts w:ascii="David" w:hAnsi="David" w:cs="David"/>
          <w:sz w:val="20"/>
          <w:szCs w:val="20"/>
          <w:rtl/>
        </w:rPr>
        <w:t>עני</w:t>
      </w:r>
      <w:r w:rsidR="00107074" w:rsidRPr="00A2478D">
        <w:rPr>
          <w:rFonts w:ascii="David" w:hAnsi="David" w:cs="David"/>
          <w:sz w:val="20"/>
          <w:szCs w:val="20"/>
          <w:rtl/>
        </w:rPr>
        <w:t>ני גירות כאלה</w:t>
      </w:r>
      <w:r w:rsidR="00107074" w:rsidRPr="00A2478D">
        <w:rPr>
          <w:rFonts w:ascii="David" w:hAnsi="David" w:cs="David" w:hint="cs"/>
          <w:sz w:val="20"/>
          <w:szCs w:val="20"/>
          <w:rtl/>
        </w:rPr>
        <w:t>,</w:t>
      </w:r>
      <w:r w:rsidR="00107074" w:rsidRPr="00A2478D">
        <w:rPr>
          <w:rFonts w:ascii="David" w:hAnsi="David" w:cs="David"/>
          <w:sz w:val="20"/>
          <w:szCs w:val="20"/>
          <w:rtl/>
        </w:rPr>
        <w:t xml:space="preserve"> "אך אין אני מוצא לנכון שירעישו על זה רבני הדור ולצאת במחאה גלויה נגד הגרות, כי בעיני עמי הארץ זהו כחלול השם שאינם מניחים הנשים להתגייר ובפרט הילדים שבאמת עפ"י דין אפשר לגיירם". </w:t>
      </w:r>
    </w:p>
    <w:p w14:paraId="3A7C82E0" w14:textId="4B5DFEFA"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הרי שרק חלק קטן מהפוסקים הסכימו לגייר במקרה זה, ואף הם התירו רק במקרים חריגים מאוד. אמנם יש לציין שדעות אלו לא נדחו לגמרי וקיימות הן ברקע של הפסיקה, וכפי שאמר הרב שמואל תנחום רובינשטין זצ"ל (תרע"ו–תשנ"ח), שהיה אב"ד בבית הדין הרבני בתל אביב, בשיעורו בכנס השלוש עשרה לתורה שבע</w:t>
      </w:r>
      <w:r w:rsidR="00107074" w:rsidRPr="00A2478D">
        <w:rPr>
          <w:rFonts w:ascii="David" w:hAnsi="David" w:cs="David" w:hint="cs"/>
          <w:sz w:val="20"/>
          <w:szCs w:val="20"/>
          <w:rtl/>
        </w:rPr>
        <w:t>ל פה</w:t>
      </w:r>
      <w:r w:rsidR="00107074" w:rsidRPr="00A2478D">
        <w:rPr>
          <w:rFonts w:ascii="David" w:hAnsi="David" w:cs="David"/>
          <w:sz w:val="20"/>
          <w:szCs w:val="20"/>
          <w:rtl/>
        </w:rPr>
        <w:t xml:space="preserve"> שדן בנושא</w:t>
      </w:r>
      <w:r w:rsidR="00107074" w:rsidRPr="00A2478D">
        <w:rPr>
          <w:rFonts w:ascii="David" w:hAnsi="David" w:cs="David" w:hint="cs"/>
          <w:sz w:val="20"/>
          <w:szCs w:val="20"/>
          <w:rtl/>
        </w:rPr>
        <w:t>:</w:t>
      </w:r>
      <w:r w:rsidR="00107074" w:rsidRPr="00A2478D">
        <w:rPr>
          <w:rFonts w:ascii="David" w:hAnsi="David" w:cs="David"/>
          <w:sz w:val="20"/>
          <w:szCs w:val="20"/>
          <w:rtl/>
        </w:rPr>
        <w:t xml:space="preserve"> "ואם כי לא נמנענו מלהביא את דברי המלמד להועיל המקל בגיורת לכהן, חובה עלינו להביא את דעתו של מרן הרב הראשי לישראל הגאון ר' יצחק אייזיק הלוי הרצוג ז"ל המחמיר בזה, ואינו מסכים להתיר גיור כזה" (מתוך חוברת תורה שבעל פה</w:t>
      </w:r>
      <w:r w:rsidR="00107074" w:rsidRPr="00A2478D">
        <w:rPr>
          <w:rFonts w:ascii="David" w:hAnsi="David" w:cs="David" w:hint="cs"/>
          <w:sz w:val="20"/>
          <w:szCs w:val="20"/>
          <w:rtl/>
        </w:rPr>
        <w:t>,</w:t>
      </w:r>
      <w:r w:rsidR="00107074" w:rsidRPr="00A2478D">
        <w:rPr>
          <w:rFonts w:ascii="David" w:hAnsi="David" w:cs="David"/>
          <w:sz w:val="20"/>
          <w:szCs w:val="20"/>
          <w:rtl/>
        </w:rPr>
        <w:t xml:space="preserve"> מוסד הרב קוק תשל"א, עמ' פא). </w:t>
      </w:r>
    </w:p>
    <w:p w14:paraId="55B58FEF" w14:textId="700BA0D9"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ראוי להעיר על כמה מהנקודות שהוזכרו בדברי הפוסקים דלעיל:</w:t>
      </w:r>
    </w:p>
    <w:p w14:paraId="315FA562" w14:textId="0926917B"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א. ל</w:t>
      </w:r>
      <w:r w:rsidR="00107074">
        <w:rPr>
          <w:rFonts w:ascii="David" w:hAnsi="David" w:cs="David"/>
          <w:sz w:val="20"/>
          <w:szCs w:val="20"/>
          <w:rtl/>
        </w:rPr>
        <w:t>ענין</w:t>
      </w:r>
      <w:r w:rsidR="00107074" w:rsidRPr="00A2478D">
        <w:rPr>
          <w:rFonts w:ascii="David" w:hAnsi="David" w:cs="David"/>
          <w:sz w:val="20"/>
          <w:szCs w:val="20"/>
          <w:rtl/>
        </w:rPr>
        <w:t xml:space="preserve"> סברת המק</w:t>
      </w:r>
      <w:r w:rsidR="00107074" w:rsidRPr="00A2478D">
        <w:rPr>
          <w:rFonts w:ascii="David" w:hAnsi="David" w:cs="David" w:hint="cs"/>
          <w:sz w:val="20"/>
          <w:szCs w:val="20"/>
          <w:rtl/>
        </w:rPr>
        <w:t>י</w:t>
      </w:r>
      <w:r w:rsidR="00107074" w:rsidRPr="00A2478D">
        <w:rPr>
          <w:rFonts w:ascii="David" w:hAnsi="David" w:cs="David"/>
          <w:sz w:val="20"/>
          <w:szCs w:val="20"/>
          <w:rtl/>
        </w:rPr>
        <w:t>לים כדי למנוע השתמדות הבעל – הגרי"ל צירלסון הביא כמה ראיות שיש שהתירו לחטוא חטא קל כדי למנוע השתמדות של אחר, וקל וחומר להתיר לאותו אחר עצמו חטא קל כדי למנוע שישתמד. אולם יש מקום להעיר על כך שכן יש חילוק גדול בין הנדונים שמהם הביא ראיה שבהם אין "איום" שמחמתו יש לשקול כביכול להתיר את האיסור או להימנע ממחאה נגדו, לבין מצב שבו יש "איום" כזה ובו יש יותר מקום לומר שחובתנו שלא להיכנע לאיום</w:t>
      </w:r>
      <w:r w:rsidR="00107074" w:rsidRPr="00A2478D">
        <w:rPr>
          <w:rFonts w:ascii="David" w:hAnsi="David" w:cs="David" w:hint="cs"/>
          <w:sz w:val="20"/>
          <w:szCs w:val="20"/>
          <w:rtl/>
        </w:rPr>
        <w:t>,</w:t>
      </w:r>
      <w:r w:rsidR="00107074" w:rsidRPr="00A2478D">
        <w:rPr>
          <w:rFonts w:ascii="David" w:hAnsi="David" w:cs="David"/>
          <w:sz w:val="20"/>
          <w:szCs w:val="20"/>
          <w:rtl/>
        </w:rPr>
        <w:t xml:space="preserve"> שכן כניעה לאיומים היא פרצה שתביא לביטול גורף של היכולת למחות בחוטאים. ועוד יש לומר מחמת סבר</w:t>
      </w:r>
      <w:r w:rsidR="00107074" w:rsidRPr="00A2478D">
        <w:rPr>
          <w:rFonts w:ascii="David" w:hAnsi="David" w:cs="David" w:hint="cs"/>
          <w:sz w:val="20"/>
          <w:szCs w:val="20"/>
          <w:rtl/>
        </w:rPr>
        <w:t>א</w:t>
      </w:r>
      <w:r w:rsidR="00107074" w:rsidRPr="00A2478D">
        <w:rPr>
          <w:rFonts w:ascii="David" w:hAnsi="David" w:cs="David"/>
          <w:sz w:val="20"/>
          <w:szCs w:val="20"/>
          <w:rtl/>
        </w:rPr>
        <w:t xml:space="preserve"> זו של מניעת פרצה בניגוד לסברת הגרי"ל צירלסון, שאם מתירים לאחר חטא קל כדי למנוע את השתמדותו של זה – קל וחומר שנתיר חטא קל לו עצמו, שאדרבה</w:t>
      </w:r>
      <w:r w:rsidR="00107074" w:rsidRPr="00A2478D">
        <w:rPr>
          <w:rFonts w:ascii="David" w:hAnsi="David" w:cs="David" w:hint="cs"/>
          <w:sz w:val="20"/>
          <w:szCs w:val="20"/>
          <w:rtl/>
        </w:rPr>
        <w:t>,</w:t>
      </w:r>
      <w:r w:rsidR="00107074" w:rsidRPr="00A2478D">
        <w:rPr>
          <w:rFonts w:ascii="David" w:hAnsi="David" w:cs="David"/>
          <w:sz w:val="20"/>
          <w:szCs w:val="20"/>
          <w:rtl/>
        </w:rPr>
        <w:t xml:space="preserve"> דווקא לאחר יש מקום להתיר חטא קל כדי למנוע מזה חטא חמור, שבזה אין חשש לפרצה, אבל לחוטא עצמו אין להתיר חטא קל כדי למונעו מחמור ממנו, כמו שכתב הדברי מלכיאל (חלק ג סימן קמד): "אם נבוא לדון בסברות כאלה נבוא לעשות ח"ו כל איסורי התורה כהפקר וכל הרוצה לעשות דבר עבירה יאמר שעושה זאת כדי להנצל מחמורה ממנה... אף במקום שהותר לא הותר רק לאחרים לעשות איסור קל כדי להציל חבירו מאיסור חמור... אבל להתיר לחוטא למלא תאות נפשו כדי שלא יעבור על איסור חמור מזה – בודאי אין להתיר לו". וראיה ברורה לחילוקים אלה, שהובאה אף בדברי מלכיאל (שם), </w:t>
      </w:r>
      <w:r w:rsidR="00107074" w:rsidRPr="00A2478D">
        <w:rPr>
          <w:rFonts w:ascii="David" w:hAnsi="David" w:cs="David" w:hint="cs"/>
          <w:sz w:val="20"/>
          <w:szCs w:val="20"/>
          <w:rtl/>
        </w:rPr>
        <w:t xml:space="preserve">יש להביא </w:t>
      </w:r>
      <w:r w:rsidR="00107074" w:rsidRPr="00A2478D">
        <w:rPr>
          <w:rFonts w:ascii="David" w:hAnsi="David" w:cs="David"/>
          <w:sz w:val="20"/>
          <w:szCs w:val="20"/>
          <w:rtl/>
        </w:rPr>
        <w:t xml:space="preserve">מדברי הרמ"א </w:t>
      </w:r>
      <w:r w:rsidR="00107074" w:rsidRPr="00A2478D">
        <w:rPr>
          <w:rFonts w:ascii="David" w:hAnsi="David" w:cs="David" w:hint="cs"/>
          <w:sz w:val="20"/>
          <w:szCs w:val="20"/>
          <w:rtl/>
        </w:rPr>
        <w:t>(</w:t>
      </w:r>
      <w:r w:rsidR="00107074" w:rsidRPr="00A2478D">
        <w:rPr>
          <w:rFonts w:ascii="David" w:hAnsi="David" w:cs="David"/>
          <w:sz w:val="20"/>
          <w:szCs w:val="20"/>
          <w:rtl/>
        </w:rPr>
        <w:t>יו"ד שלד</w:t>
      </w:r>
      <w:r w:rsidR="00107074" w:rsidRPr="00A2478D">
        <w:rPr>
          <w:rFonts w:ascii="David" w:hAnsi="David" w:cs="David" w:hint="cs"/>
          <w:sz w:val="20"/>
          <w:szCs w:val="20"/>
          <w:rtl/>
        </w:rPr>
        <w:t>,</w:t>
      </w:r>
      <w:r w:rsidR="00107074" w:rsidRPr="00A2478D">
        <w:rPr>
          <w:rFonts w:ascii="David" w:hAnsi="David" w:cs="David"/>
          <w:sz w:val="20"/>
          <w:szCs w:val="20"/>
          <w:rtl/>
        </w:rPr>
        <w:t xml:space="preserve"> א</w:t>
      </w:r>
      <w:r w:rsidR="00107074" w:rsidRPr="00A2478D">
        <w:rPr>
          <w:rFonts w:ascii="David" w:hAnsi="David" w:cs="David" w:hint="cs"/>
          <w:sz w:val="20"/>
          <w:szCs w:val="20"/>
          <w:rtl/>
        </w:rPr>
        <w:t>),</w:t>
      </w:r>
      <w:r w:rsidR="00107074" w:rsidRPr="00A2478D">
        <w:rPr>
          <w:rFonts w:ascii="David" w:hAnsi="David" w:cs="David"/>
          <w:sz w:val="20"/>
          <w:szCs w:val="20"/>
          <w:rtl/>
        </w:rPr>
        <w:t xml:space="preserve"> שמנדים למי שחייב נידוי אף אם יש חשש שיצא על ידי כך לתרבות רעה, והלוא דברים קל וחומר</w:t>
      </w:r>
      <w:r w:rsidR="00107074" w:rsidRPr="00A2478D">
        <w:rPr>
          <w:rFonts w:ascii="David" w:hAnsi="David" w:cs="David" w:hint="cs"/>
          <w:sz w:val="20"/>
          <w:szCs w:val="20"/>
          <w:rtl/>
        </w:rPr>
        <w:t>,</w:t>
      </w:r>
      <w:r w:rsidR="00107074" w:rsidRPr="00A2478D">
        <w:rPr>
          <w:rFonts w:ascii="David" w:hAnsi="David" w:cs="David"/>
          <w:sz w:val="20"/>
          <w:szCs w:val="20"/>
          <w:rtl/>
        </w:rPr>
        <w:t xml:space="preserve"> אם מנדים </w:t>
      </w:r>
      <w:r w:rsidR="00107074" w:rsidRPr="00A2478D">
        <w:rPr>
          <w:rFonts w:ascii="David" w:hAnsi="David" w:cs="David" w:hint="cs"/>
          <w:sz w:val="20"/>
          <w:szCs w:val="20"/>
          <w:rtl/>
        </w:rPr>
        <w:t xml:space="preserve">– </w:t>
      </w:r>
      <w:r w:rsidR="00107074" w:rsidRPr="00A2478D">
        <w:rPr>
          <w:rFonts w:ascii="David" w:hAnsi="David" w:cs="David"/>
          <w:sz w:val="20"/>
          <w:szCs w:val="20"/>
          <w:rtl/>
        </w:rPr>
        <w:t>כל שכן שמוחים</w:t>
      </w:r>
      <w:r w:rsidR="00107074" w:rsidRPr="00A2478D">
        <w:rPr>
          <w:rFonts w:ascii="David" w:hAnsi="David" w:cs="David" w:hint="cs"/>
          <w:sz w:val="20"/>
          <w:szCs w:val="20"/>
          <w:rtl/>
        </w:rPr>
        <w:t>,</w:t>
      </w:r>
      <w:r w:rsidR="00107074" w:rsidRPr="00A2478D">
        <w:rPr>
          <w:rFonts w:ascii="David" w:hAnsi="David" w:cs="David"/>
          <w:sz w:val="20"/>
          <w:szCs w:val="20"/>
          <w:rtl/>
        </w:rPr>
        <w:t xml:space="preserve"> וכל שכן שאין מתירים לעשות איסור מחמת "איום" כזה, ועיי</w:t>
      </w:r>
      <w:r w:rsidR="00107074" w:rsidRPr="00A2478D">
        <w:rPr>
          <w:rFonts w:ascii="David" w:hAnsi="David" w:cs="David" w:hint="cs"/>
          <w:sz w:val="20"/>
          <w:szCs w:val="20"/>
          <w:rtl/>
        </w:rPr>
        <w:t>נו</w:t>
      </w:r>
      <w:r w:rsidR="00107074" w:rsidRPr="00A2478D">
        <w:rPr>
          <w:rFonts w:ascii="David" w:hAnsi="David" w:cs="David"/>
          <w:sz w:val="20"/>
          <w:szCs w:val="20"/>
          <w:rtl/>
        </w:rPr>
        <w:t xml:space="preserve"> באגרות משה (אבהע"ז חלק ב סימן ד) הנ"ל</w:t>
      </w:r>
      <w:r w:rsidR="00107074" w:rsidRPr="00A2478D">
        <w:rPr>
          <w:rFonts w:ascii="David" w:hAnsi="David" w:cs="David" w:hint="cs"/>
          <w:sz w:val="20"/>
          <w:szCs w:val="20"/>
          <w:rtl/>
        </w:rPr>
        <w:t>,</w:t>
      </w:r>
      <w:r w:rsidR="00107074" w:rsidRPr="00A2478D">
        <w:rPr>
          <w:rFonts w:ascii="David" w:hAnsi="David" w:cs="David"/>
          <w:sz w:val="20"/>
          <w:szCs w:val="20"/>
          <w:rtl/>
        </w:rPr>
        <w:t xml:space="preserve"> שאף שלא דן בדברי הגרי"ל צירלסון עמד על השוואת נדון דידן לנדון זה. </w:t>
      </w:r>
    </w:p>
    <w:p w14:paraId="3D58671C" w14:textId="27A7DDD9"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ל</w:t>
      </w:r>
      <w:r w:rsidR="00107074">
        <w:rPr>
          <w:rFonts w:ascii="David" w:hAnsi="David" w:cs="David"/>
          <w:sz w:val="20"/>
          <w:szCs w:val="20"/>
          <w:rtl/>
        </w:rPr>
        <w:t>עני</w:t>
      </w:r>
      <w:r w:rsidR="00107074" w:rsidRPr="00A2478D">
        <w:rPr>
          <w:rFonts w:ascii="David" w:hAnsi="David" w:cs="David"/>
          <w:sz w:val="20"/>
          <w:szCs w:val="20"/>
          <w:rtl/>
        </w:rPr>
        <w:t>ננו ב</w:t>
      </w:r>
      <w:r w:rsidR="00107074" w:rsidRPr="00A2478D">
        <w:rPr>
          <w:rFonts w:ascii="David" w:hAnsi="David" w:cs="David" w:hint="cs"/>
          <w:sz w:val="20"/>
          <w:szCs w:val="20"/>
          <w:rtl/>
        </w:rPr>
        <w:t>כל אופן</w:t>
      </w:r>
      <w:r w:rsidR="00107074" w:rsidRPr="00A2478D">
        <w:rPr>
          <w:rFonts w:ascii="David" w:hAnsi="David" w:cs="David"/>
          <w:sz w:val="20"/>
          <w:szCs w:val="20"/>
          <w:rtl/>
        </w:rPr>
        <w:t xml:space="preserve"> נראה שאין יסוד ממשי לחשש זה, ולכל היותר יישאר לחיות עם הגויה בגויותה (ונראה שעיקר החשש היה במקומות ובזמנים שבהם ב</w:t>
      </w:r>
      <w:r w:rsidR="00107074" w:rsidRPr="00A2478D">
        <w:rPr>
          <w:rFonts w:ascii="David" w:hAnsi="David" w:cs="David" w:hint="cs"/>
          <w:sz w:val="20"/>
          <w:szCs w:val="20"/>
          <w:rtl/>
        </w:rPr>
        <w:t>כל אופן</w:t>
      </w:r>
      <w:r w:rsidR="00107074" w:rsidRPr="00A2478D">
        <w:rPr>
          <w:rFonts w:ascii="David" w:hAnsi="David" w:cs="David"/>
          <w:sz w:val="20"/>
          <w:szCs w:val="20"/>
          <w:rtl/>
        </w:rPr>
        <w:t xml:space="preserve"> היה ליהודי שאינו שומר מצוות אינטרס להמיר את דתו ולזכות בזכויות שנשללו מהיהודים, ונוסף לכך לא הייתה אפשרות למסד נישואים בין בני דתות שונות – הגרי"ל צירלסון שהעלה סברה זו חי במזרח אירופה לפני כמאה שנה, התשובה המסוימת הזו נכתבה לשואל מבולגריה. לא ידוע לנו מה היה המצב שם באותה תקופה, וגם השנה המדויקת של התשובה לא צוינה, אך ככלל</w:t>
      </w:r>
      <w:r w:rsidR="00107074" w:rsidRPr="00A2478D">
        <w:rPr>
          <w:rFonts w:ascii="David" w:hAnsi="David" w:cs="David" w:hint="cs"/>
          <w:sz w:val="20"/>
          <w:szCs w:val="20"/>
          <w:rtl/>
        </w:rPr>
        <w:t>,</w:t>
      </w:r>
      <w:r w:rsidR="00107074" w:rsidRPr="00A2478D">
        <w:rPr>
          <w:rFonts w:ascii="David" w:hAnsi="David" w:cs="David"/>
          <w:sz w:val="20"/>
          <w:szCs w:val="20"/>
          <w:rtl/>
        </w:rPr>
        <w:t xml:space="preserve"> בכל מזרח אירופה היו נישואין דתיים בלבד עד למהפכה הרוסית, ונישואין אזרחיים הונהגו לאחריה בהדרגה. נוסף לכל זאת</w:t>
      </w:r>
      <w:r w:rsidR="00107074" w:rsidRPr="00A2478D">
        <w:rPr>
          <w:rFonts w:ascii="David" w:hAnsi="David" w:cs="David" w:hint="cs"/>
          <w:sz w:val="20"/>
          <w:szCs w:val="20"/>
          <w:rtl/>
        </w:rPr>
        <w:t>,</w:t>
      </w:r>
      <w:r w:rsidR="00107074" w:rsidRPr="00A2478D">
        <w:rPr>
          <w:rFonts w:ascii="David" w:hAnsi="David" w:cs="David"/>
          <w:sz w:val="20"/>
          <w:szCs w:val="20"/>
          <w:rtl/>
        </w:rPr>
        <w:t xml:space="preserve"> בתשובה המדוברת הגויה כבר התגיירה והשאלה הייתה רק על הנישואין</w:t>
      </w:r>
      <w:r w:rsidR="00107074" w:rsidRPr="00A2478D">
        <w:rPr>
          <w:rFonts w:ascii="David" w:hAnsi="David" w:cs="David" w:hint="cs"/>
          <w:sz w:val="20"/>
          <w:szCs w:val="20"/>
          <w:rtl/>
        </w:rPr>
        <w:t>,</w:t>
      </w:r>
      <w:r w:rsidR="00107074" w:rsidRPr="00A2478D">
        <w:rPr>
          <w:rFonts w:ascii="David" w:hAnsi="David" w:cs="David"/>
          <w:sz w:val="20"/>
          <w:szCs w:val="20"/>
          <w:rtl/>
        </w:rPr>
        <w:t xml:space="preserve"> לעומת האפשרות להשתמדות של שני בני הזוג – היהודי והגיורת, והיה איום קונקרטי כזה מצידם, שנראה בעיני השואל כאיום רציני)</w:t>
      </w:r>
      <w:r w:rsidR="00107074" w:rsidRPr="00A2478D">
        <w:rPr>
          <w:rFonts w:ascii="David" w:hAnsi="David" w:cs="David" w:hint="cs"/>
          <w:sz w:val="20"/>
          <w:szCs w:val="20"/>
          <w:rtl/>
        </w:rPr>
        <w:t>.</w:t>
      </w:r>
      <w:r w:rsidR="00107074" w:rsidRPr="00A2478D">
        <w:rPr>
          <w:rFonts w:ascii="David" w:hAnsi="David" w:cs="David"/>
          <w:sz w:val="20"/>
          <w:szCs w:val="20"/>
          <w:rtl/>
        </w:rPr>
        <w:t xml:space="preserve"> </w:t>
      </w:r>
    </w:p>
    <w:p w14:paraId="03787418" w14:textId="6DF69037"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אלא שלאידך גיסא, דווקא כיוון שב</w:t>
      </w:r>
      <w:r w:rsidR="00107074">
        <w:rPr>
          <w:rFonts w:ascii="David" w:hAnsi="David" w:cs="David"/>
          <w:sz w:val="20"/>
          <w:szCs w:val="20"/>
          <w:rtl/>
        </w:rPr>
        <w:t>עני</w:t>
      </w:r>
      <w:r w:rsidR="00107074" w:rsidRPr="00A2478D">
        <w:rPr>
          <w:rFonts w:ascii="David" w:hAnsi="David" w:cs="David"/>
          <w:sz w:val="20"/>
          <w:szCs w:val="20"/>
          <w:rtl/>
        </w:rPr>
        <w:t>ננו לא מדובר ב"איום" אלא שהמצב העובדתי הקיים הוא שבני הזוג חיים יחד ואנו מבקשים לשקול אם יש מקום להתיר את הגיור למרות המשך חייהם המשותפים כצפוי, ובזה יש לכאורה יותר מקום לשיקול "נקי" של חטא חמור לעומת חטא קל.</w:t>
      </w:r>
    </w:p>
    <w:p w14:paraId="3F0A64CE" w14:textId="27078BA3"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ב. ל</w:t>
      </w:r>
      <w:r w:rsidR="00107074">
        <w:rPr>
          <w:rFonts w:ascii="David" w:hAnsi="David" w:cs="David"/>
          <w:sz w:val="20"/>
          <w:szCs w:val="20"/>
          <w:rtl/>
        </w:rPr>
        <w:t>ענין</w:t>
      </w:r>
      <w:r w:rsidR="00107074" w:rsidRPr="00A2478D">
        <w:rPr>
          <w:rFonts w:ascii="David" w:hAnsi="David" w:cs="David"/>
          <w:sz w:val="20"/>
          <w:szCs w:val="20"/>
          <w:rtl/>
        </w:rPr>
        <w:t xml:space="preserve"> איסור זונה לכהן: גם ללא גיור קיים איסור זה בנוגע לכהן, וזאת נוסף לאיסור של נישואין לגויה הנוגע אף לישראל. ואדרבה: בגיורת לדעת הרמב"ם (וכנ"ל) האיסור מן התורה הוא רק בנישואין ולא בביאה ללא נישואין, ואילו בגויה עובר בכל ביאה אף ללא נישואין (</w:t>
      </w:r>
      <w:r w:rsidR="00107074" w:rsidRPr="00A2478D">
        <w:rPr>
          <w:rFonts w:ascii="David" w:hAnsi="David" w:cs="David" w:hint="cs"/>
          <w:sz w:val="20"/>
          <w:szCs w:val="20"/>
          <w:rtl/>
        </w:rPr>
        <w:t xml:space="preserve">הלכות </w:t>
      </w:r>
      <w:r w:rsidR="00107074" w:rsidRPr="00A2478D">
        <w:rPr>
          <w:rFonts w:ascii="David" w:hAnsi="David" w:cs="David"/>
          <w:sz w:val="20"/>
          <w:szCs w:val="20"/>
          <w:rtl/>
        </w:rPr>
        <w:t>איסורי ביאה יב</w:t>
      </w:r>
      <w:r w:rsidR="00107074" w:rsidRPr="00A2478D">
        <w:rPr>
          <w:rFonts w:ascii="David" w:hAnsi="David" w:cs="David" w:hint="cs"/>
          <w:sz w:val="20"/>
          <w:szCs w:val="20"/>
          <w:rtl/>
        </w:rPr>
        <w:t>,</w:t>
      </w:r>
      <w:r w:rsidR="00107074" w:rsidRPr="00A2478D">
        <w:rPr>
          <w:rFonts w:ascii="David" w:hAnsi="David" w:cs="David"/>
          <w:sz w:val="20"/>
          <w:szCs w:val="20"/>
          <w:rtl/>
        </w:rPr>
        <w:t xml:space="preserve"> ג</w:t>
      </w:r>
      <w:r w:rsidR="00107074" w:rsidRPr="00A2478D">
        <w:rPr>
          <w:rFonts w:ascii="David" w:hAnsi="David" w:cs="David" w:hint="cs"/>
          <w:sz w:val="20"/>
          <w:szCs w:val="20"/>
          <w:rtl/>
        </w:rPr>
        <w:t>;</w:t>
      </w:r>
      <w:r w:rsidR="00107074" w:rsidRPr="00A2478D">
        <w:rPr>
          <w:rFonts w:ascii="David" w:hAnsi="David" w:cs="David"/>
          <w:sz w:val="20"/>
          <w:szCs w:val="20"/>
          <w:rtl/>
        </w:rPr>
        <w:t xml:space="preserve"> יז</w:t>
      </w:r>
      <w:r w:rsidR="00107074" w:rsidRPr="00A2478D">
        <w:rPr>
          <w:rFonts w:ascii="David" w:hAnsi="David" w:cs="David" w:hint="cs"/>
          <w:sz w:val="20"/>
          <w:szCs w:val="20"/>
          <w:rtl/>
        </w:rPr>
        <w:t>,</w:t>
      </w:r>
      <w:r w:rsidR="00107074" w:rsidRPr="00A2478D">
        <w:rPr>
          <w:rFonts w:ascii="David" w:hAnsi="David" w:cs="David"/>
          <w:sz w:val="20"/>
          <w:szCs w:val="20"/>
          <w:rtl/>
        </w:rPr>
        <w:t xml:space="preserve"> ו). ול</w:t>
      </w:r>
      <w:r w:rsidR="00107074">
        <w:rPr>
          <w:rFonts w:ascii="David" w:hAnsi="David" w:cs="David"/>
          <w:sz w:val="20"/>
          <w:szCs w:val="20"/>
          <w:rtl/>
        </w:rPr>
        <w:t>ענין</w:t>
      </w:r>
      <w:r w:rsidR="00107074" w:rsidRPr="00A2478D">
        <w:rPr>
          <w:rFonts w:ascii="David" w:hAnsi="David" w:cs="David"/>
          <w:sz w:val="20"/>
          <w:szCs w:val="20"/>
          <w:rtl/>
        </w:rPr>
        <w:t xml:space="preserve"> הטענה שלאחר הגיור מוכשלת אף היא באיסור, שהרי הגיורת אסורה להינשא לכהן, ואילו לפני הגיור האיסור הוא רק עליו – ל</w:t>
      </w:r>
      <w:r w:rsidR="00107074">
        <w:rPr>
          <w:rFonts w:ascii="David" w:hAnsi="David" w:cs="David"/>
          <w:sz w:val="20"/>
          <w:szCs w:val="20"/>
          <w:rtl/>
        </w:rPr>
        <w:t>ענין</w:t>
      </w:r>
      <w:r w:rsidR="00107074" w:rsidRPr="00A2478D">
        <w:rPr>
          <w:rFonts w:ascii="David" w:hAnsi="David" w:cs="David"/>
          <w:sz w:val="20"/>
          <w:szCs w:val="20"/>
          <w:rtl/>
        </w:rPr>
        <w:t xml:space="preserve"> האיסור החל על כל יהודי, לפחות כשמדובר בפרהסי</w:t>
      </w:r>
      <w:r w:rsidR="00107074" w:rsidRPr="00A2478D">
        <w:rPr>
          <w:rFonts w:ascii="David" w:hAnsi="David" w:cs="David" w:hint="cs"/>
          <w:sz w:val="20"/>
          <w:szCs w:val="20"/>
          <w:rtl/>
        </w:rPr>
        <w:t>ה</w:t>
      </w:r>
      <w:r w:rsidR="00107074" w:rsidRPr="00A2478D">
        <w:rPr>
          <w:rFonts w:ascii="David" w:hAnsi="David" w:cs="David"/>
          <w:sz w:val="20"/>
          <w:szCs w:val="20"/>
          <w:rtl/>
        </w:rPr>
        <w:t>, לכאורה יש לפקפק בסבר</w:t>
      </w:r>
      <w:r w:rsidR="00107074" w:rsidRPr="00A2478D">
        <w:rPr>
          <w:rFonts w:ascii="David" w:hAnsi="David" w:cs="David" w:hint="cs"/>
          <w:sz w:val="20"/>
          <w:szCs w:val="20"/>
          <w:rtl/>
        </w:rPr>
        <w:t>א</w:t>
      </w:r>
      <w:r w:rsidR="00107074" w:rsidRPr="00A2478D">
        <w:rPr>
          <w:rFonts w:ascii="David" w:hAnsi="David" w:cs="David"/>
          <w:sz w:val="20"/>
          <w:szCs w:val="20"/>
          <w:rtl/>
        </w:rPr>
        <w:t xml:space="preserve"> זו</w:t>
      </w:r>
      <w:r w:rsidR="00107074" w:rsidRPr="00A2478D">
        <w:rPr>
          <w:rFonts w:ascii="David" w:hAnsi="David" w:cs="David" w:hint="cs"/>
          <w:sz w:val="20"/>
          <w:szCs w:val="20"/>
          <w:rtl/>
        </w:rPr>
        <w:t>,</w:t>
      </w:r>
      <w:r w:rsidR="00107074" w:rsidRPr="00A2478D">
        <w:rPr>
          <w:rFonts w:ascii="David" w:hAnsi="David" w:cs="David"/>
          <w:sz w:val="20"/>
          <w:szCs w:val="20"/>
          <w:rtl/>
        </w:rPr>
        <w:t xml:space="preserve"> שהרי "הבועל ארמית קנאין פוגעין בו", היינו בו ובה (וכמעשה זמרי</w:t>
      </w:r>
      <w:r w:rsidR="00107074" w:rsidRPr="00A2478D">
        <w:rPr>
          <w:rFonts w:ascii="David" w:hAnsi="David" w:cs="David" w:hint="cs"/>
          <w:sz w:val="20"/>
          <w:szCs w:val="20"/>
          <w:rtl/>
        </w:rPr>
        <w:t>,</w:t>
      </w:r>
      <w:r w:rsidR="00107074" w:rsidRPr="00A2478D">
        <w:rPr>
          <w:rFonts w:ascii="David" w:hAnsi="David" w:cs="David"/>
          <w:sz w:val="20"/>
          <w:szCs w:val="20"/>
          <w:rtl/>
        </w:rPr>
        <w:t xml:space="preserve"> ש</w:t>
      </w:r>
      <w:r w:rsidR="00107074" w:rsidRPr="00A2478D">
        <w:rPr>
          <w:rFonts w:ascii="David" w:hAnsi="David" w:cs="David" w:hint="cs"/>
          <w:sz w:val="20"/>
          <w:szCs w:val="20"/>
          <w:rtl/>
        </w:rPr>
        <w:t xml:space="preserve">פינחס </w:t>
      </w:r>
      <w:r w:rsidR="00107074" w:rsidRPr="00A2478D">
        <w:rPr>
          <w:rFonts w:ascii="David" w:hAnsi="David" w:cs="David"/>
          <w:sz w:val="20"/>
          <w:szCs w:val="20"/>
          <w:rtl/>
        </w:rPr>
        <w:t>הרג אותו ואת כזבי גם יחד)</w:t>
      </w:r>
      <w:r w:rsidR="00107074" w:rsidRPr="00A2478D">
        <w:rPr>
          <w:rFonts w:ascii="David" w:hAnsi="David" w:cs="David" w:hint="cs"/>
          <w:sz w:val="20"/>
          <w:szCs w:val="20"/>
          <w:rtl/>
        </w:rPr>
        <w:t>,</w:t>
      </w:r>
      <w:r w:rsidR="00107074" w:rsidRPr="00A2478D">
        <w:rPr>
          <w:rFonts w:ascii="David" w:hAnsi="David" w:cs="David"/>
          <w:sz w:val="20"/>
          <w:szCs w:val="20"/>
          <w:rtl/>
        </w:rPr>
        <w:t xml:space="preserve"> ואף אם נאמר שאין היא בכלל האיסור אלא שנהרגת כיוון שבאה ליהודי תקלה על ידה (עיינו לשון הרמב"ם שם יב</w:t>
      </w:r>
      <w:r w:rsidR="00107074" w:rsidRPr="00A2478D">
        <w:rPr>
          <w:rFonts w:ascii="David" w:hAnsi="David" w:cs="David" w:hint="cs"/>
          <w:sz w:val="20"/>
          <w:szCs w:val="20"/>
          <w:rtl/>
        </w:rPr>
        <w:t>,</w:t>
      </w:r>
      <w:r w:rsidR="00107074" w:rsidRPr="00A2478D">
        <w:rPr>
          <w:rFonts w:ascii="David" w:hAnsi="David" w:cs="David"/>
          <w:sz w:val="20"/>
          <w:szCs w:val="20"/>
          <w:rtl/>
        </w:rPr>
        <w:t xml:space="preserve"> י, ועיינו </w:t>
      </w:r>
      <w:r w:rsidR="00107074" w:rsidRPr="00A2478D">
        <w:rPr>
          <w:rFonts w:ascii="David" w:hAnsi="David" w:cs="David" w:hint="cs"/>
          <w:sz w:val="20"/>
          <w:szCs w:val="20"/>
          <w:rtl/>
        </w:rPr>
        <w:t>ב</w:t>
      </w:r>
      <w:r w:rsidR="00107074" w:rsidRPr="00A2478D">
        <w:rPr>
          <w:rFonts w:ascii="David" w:hAnsi="David" w:cs="David"/>
          <w:sz w:val="20"/>
          <w:szCs w:val="20"/>
          <w:rtl/>
        </w:rPr>
        <w:t>אור החיים על התורה סוף פרשת בלק ועוד), מכל מקום צריך עיון אם נוכל לראות את הצלתה מחיוב מיתה, יהיה גדרו אשר יהיה, ללאו גרידא כ</w:t>
      </w:r>
      <w:r w:rsidR="00107074" w:rsidRPr="00A2478D">
        <w:rPr>
          <w:rFonts w:ascii="David" w:hAnsi="David" w:cs="David" w:hint="cs"/>
          <w:sz w:val="20"/>
          <w:szCs w:val="20"/>
          <w:rtl/>
        </w:rPr>
        <w:t>'</w:t>
      </w:r>
      <w:r w:rsidR="00107074" w:rsidRPr="00A2478D">
        <w:rPr>
          <w:rFonts w:ascii="David" w:hAnsi="David" w:cs="David"/>
          <w:sz w:val="20"/>
          <w:szCs w:val="20"/>
          <w:rtl/>
        </w:rPr>
        <w:t>הכשלה</w:t>
      </w:r>
      <w:r w:rsidR="00107074" w:rsidRPr="00A2478D">
        <w:rPr>
          <w:rFonts w:ascii="David" w:hAnsi="David" w:cs="David" w:hint="cs"/>
          <w:sz w:val="20"/>
          <w:szCs w:val="20"/>
          <w:rtl/>
        </w:rPr>
        <w:t>'</w:t>
      </w:r>
      <w:r w:rsidR="00107074" w:rsidRPr="00A2478D">
        <w:rPr>
          <w:rFonts w:ascii="David" w:hAnsi="David" w:cs="David"/>
          <w:sz w:val="20"/>
          <w:szCs w:val="20"/>
          <w:rtl/>
        </w:rPr>
        <w:t>.</w:t>
      </w:r>
    </w:p>
    <w:p w14:paraId="0CCA137F" w14:textId="6784B737" w:rsidR="00107074" w:rsidRPr="00A2478D"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ג. החשש שהעלה הרב גורן שאם לא נקל בזה יגרום הדבר להכרה בגיורי ונישואי הרפורמים אינו שייך כלל בחו"ל, שהרי שם ב</w:t>
      </w:r>
      <w:r w:rsidR="00107074" w:rsidRPr="00A2478D">
        <w:rPr>
          <w:rFonts w:ascii="David" w:hAnsi="David" w:cs="David" w:hint="cs"/>
          <w:sz w:val="20"/>
          <w:szCs w:val="20"/>
          <w:rtl/>
        </w:rPr>
        <w:t xml:space="preserve">כל מקרה </w:t>
      </w:r>
      <w:r w:rsidR="00107074" w:rsidRPr="00A2478D">
        <w:rPr>
          <w:rFonts w:ascii="David" w:hAnsi="David" w:cs="David"/>
          <w:sz w:val="20"/>
          <w:szCs w:val="20"/>
          <w:rtl/>
        </w:rPr>
        <w:t>לצערנו נערכים נישואים וגיורים כאלה ואין הבדל בהכרה (או באי ההכרה) מצד הרשויות בינם לבין אלה הנעשים כדת משה וישראל</w:t>
      </w:r>
      <w:r w:rsidR="00107074" w:rsidRPr="00A2478D">
        <w:rPr>
          <w:rFonts w:ascii="David" w:hAnsi="David" w:cs="David" w:hint="cs"/>
          <w:sz w:val="20"/>
          <w:szCs w:val="20"/>
          <w:rtl/>
        </w:rPr>
        <w:t>.</w:t>
      </w:r>
      <w:r w:rsidR="00107074" w:rsidRPr="00A2478D">
        <w:rPr>
          <w:rFonts w:ascii="David" w:hAnsi="David" w:cs="David"/>
          <w:sz w:val="20"/>
          <w:szCs w:val="20"/>
          <w:rtl/>
        </w:rPr>
        <w:t xml:space="preserve"> ואף בארץ דומה שעצם ההנחה שכך יהיה ושדווקא ההקפדה ב</w:t>
      </w:r>
      <w:r w:rsidR="00107074">
        <w:rPr>
          <w:rFonts w:ascii="David" w:hAnsi="David" w:cs="David"/>
          <w:sz w:val="20"/>
          <w:szCs w:val="20"/>
          <w:rtl/>
        </w:rPr>
        <w:t>ענין</w:t>
      </w:r>
      <w:r w:rsidR="00107074" w:rsidRPr="00A2478D">
        <w:rPr>
          <w:rFonts w:ascii="David" w:hAnsi="David" w:cs="David"/>
          <w:sz w:val="20"/>
          <w:szCs w:val="20"/>
          <w:rtl/>
        </w:rPr>
        <w:t xml:space="preserve"> זה היא שתחזק את החשש להכרה בגיורי ונישואי הרפורמים צריכה הייתה עיון גם בשעתו</w:t>
      </w:r>
      <w:r w:rsidR="00107074" w:rsidRPr="00A2478D">
        <w:rPr>
          <w:rFonts w:ascii="David" w:hAnsi="David" w:cs="David" w:hint="cs"/>
          <w:sz w:val="20"/>
          <w:szCs w:val="20"/>
          <w:rtl/>
        </w:rPr>
        <w:t>,</w:t>
      </w:r>
      <w:r w:rsidR="00107074" w:rsidRPr="00A2478D">
        <w:rPr>
          <w:rFonts w:ascii="David" w:hAnsi="David" w:cs="David"/>
          <w:sz w:val="20"/>
          <w:szCs w:val="20"/>
          <w:rtl/>
        </w:rPr>
        <w:t xml:space="preserve"> וודאי צריכה עיון בזמננו אנו. וצריך עיון גם אם כלל יש מקום להתחשב בסבר</w:t>
      </w:r>
      <w:r w:rsidR="00107074" w:rsidRPr="00A2478D">
        <w:rPr>
          <w:rFonts w:ascii="David" w:hAnsi="David" w:cs="David" w:hint="cs"/>
          <w:sz w:val="20"/>
          <w:szCs w:val="20"/>
          <w:rtl/>
        </w:rPr>
        <w:t>א</w:t>
      </w:r>
      <w:r w:rsidR="00107074" w:rsidRPr="00A2478D">
        <w:rPr>
          <w:rFonts w:ascii="David" w:hAnsi="David" w:cs="David"/>
          <w:sz w:val="20"/>
          <w:szCs w:val="20"/>
          <w:rtl/>
        </w:rPr>
        <w:t xml:space="preserve"> כזו, שהרי יש לחשוש לאידך גיסא שאדרבה</w:t>
      </w:r>
      <w:r w:rsidR="00107074" w:rsidRPr="00A2478D">
        <w:rPr>
          <w:rFonts w:ascii="David" w:hAnsi="David" w:cs="David" w:hint="cs"/>
          <w:sz w:val="20"/>
          <w:szCs w:val="20"/>
          <w:rtl/>
        </w:rPr>
        <w:t>,</w:t>
      </w:r>
      <w:r w:rsidR="00107074" w:rsidRPr="00A2478D">
        <w:rPr>
          <w:rFonts w:ascii="David" w:hAnsi="David" w:cs="David"/>
          <w:sz w:val="20"/>
          <w:szCs w:val="20"/>
          <w:rtl/>
        </w:rPr>
        <w:t xml:space="preserve"> אם נקל ב</w:t>
      </w:r>
      <w:r w:rsidR="00107074" w:rsidRPr="00A2478D">
        <w:rPr>
          <w:rFonts w:ascii="David" w:hAnsi="David" w:cs="David" w:hint="cs"/>
          <w:sz w:val="20"/>
          <w:szCs w:val="20"/>
          <w:rtl/>
        </w:rPr>
        <w:t xml:space="preserve">מקרה זה </w:t>
      </w:r>
      <w:r w:rsidR="00107074" w:rsidRPr="00A2478D">
        <w:rPr>
          <w:rFonts w:ascii="David" w:hAnsi="David" w:cs="David"/>
          <w:sz w:val="20"/>
          <w:szCs w:val="20"/>
          <w:rtl/>
        </w:rPr>
        <w:t>משום חשש זה</w:t>
      </w:r>
      <w:r w:rsidR="00107074" w:rsidRPr="00A2478D">
        <w:rPr>
          <w:rFonts w:ascii="David" w:hAnsi="David" w:cs="David" w:hint="cs"/>
          <w:sz w:val="20"/>
          <w:szCs w:val="20"/>
          <w:rtl/>
        </w:rPr>
        <w:t>,</w:t>
      </w:r>
      <w:r w:rsidR="00107074" w:rsidRPr="00A2478D">
        <w:rPr>
          <w:rFonts w:ascii="David" w:hAnsi="David" w:cs="David"/>
          <w:sz w:val="20"/>
          <w:szCs w:val="20"/>
          <w:rtl/>
        </w:rPr>
        <w:t xml:space="preserve"> ידרשו מעימנו קולות נוספות באיום של ההכרה בגיורים ונישואים שלא כדת משה וישראל</w:t>
      </w:r>
      <w:r w:rsidR="00107074" w:rsidRPr="00A2478D">
        <w:rPr>
          <w:rFonts w:ascii="David" w:hAnsi="David" w:cs="David" w:hint="cs"/>
          <w:sz w:val="20"/>
          <w:szCs w:val="20"/>
          <w:rtl/>
        </w:rPr>
        <w:t>,</w:t>
      </w:r>
      <w:r w:rsidR="00107074" w:rsidRPr="00A2478D">
        <w:rPr>
          <w:rFonts w:ascii="David" w:hAnsi="David" w:cs="David"/>
          <w:sz w:val="20"/>
          <w:szCs w:val="20"/>
          <w:rtl/>
        </w:rPr>
        <w:t xml:space="preserve"> ואין לדבר סוף</w:t>
      </w:r>
      <w:r w:rsidR="00107074" w:rsidRPr="00A2478D">
        <w:rPr>
          <w:rFonts w:ascii="David" w:hAnsi="David" w:cs="David" w:hint="cs"/>
          <w:sz w:val="20"/>
          <w:szCs w:val="20"/>
          <w:rtl/>
        </w:rPr>
        <w:t>.</w:t>
      </w:r>
      <w:r w:rsidR="00107074" w:rsidRPr="00A2478D">
        <w:rPr>
          <w:rFonts w:ascii="David" w:hAnsi="David" w:cs="David"/>
          <w:sz w:val="20"/>
          <w:szCs w:val="20"/>
          <w:rtl/>
        </w:rPr>
        <w:t xml:space="preserve"> ואדרבה</w:t>
      </w:r>
      <w:r w:rsidR="00107074" w:rsidRPr="00A2478D">
        <w:rPr>
          <w:rFonts w:ascii="David" w:hAnsi="David" w:cs="David" w:hint="cs"/>
          <w:sz w:val="20"/>
          <w:szCs w:val="20"/>
          <w:rtl/>
        </w:rPr>
        <w:t>,</w:t>
      </w:r>
      <w:r w:rsidR="00107074" w:rsidRPr="00A2478D">
        <w:rPr>
          <w:rFonts w:ascii="David" w:hAnsi="David" w:cs="David"/>
          <w:sz w:val="20"/>
          <w:szCs w:val="20"/>
          <w:rtl/>
        </w:rPr>
        <w:t xml:space="preserve"> אם נעמוד כחומה בצורה שלא להתיר דבר האסור מן הדין [אם כי כמובן גם שלא להחמיר שלא לצורך במה שאינו אסור מן הדין]</w:t>
      </w:r>
      <w:r w:rsidR="00107074" w:rsidRPr="00A2478D">
        <w:rPr>
          <w:rFonts w:ascii="David" w:hAnsi="David" w:cs="David" w:hint="cs"/>
          <w:sz w:val="20"/>
          <w:szCs w:val="20"/>
          <w:rtl/>
        </w:rPr>
        <w:t>,</w:t>
      </w:r>
      <w:r w:rsidR="00107074" w:rsidRPr="00A2478D">
        <w:rPr>
          <w:rFonts w:ascii="David" w:hAnsi="David" w:cs="David"/>
          <w:sz w:val="20"/>
          <w:szCs w:val="20"/>
          <w:rtl/>
        </w:rPr>
        <w:t xml:space="preserve"> יש יותר סיכוי שעמדתנו תכובד גם בידי מי שבעצמם אינם שומרי מצוות</w:t>
      </w:r>
      <w:r w:rsidR="00107074" w:rsidRPr="00A2478D">
        <w:rPr>
          <w:rFonts w:ascii="David" w:hAnsi="David" w:cs="David" w:hint="cs"/>
          <w:sz w:val="20"/>
          <w:szCs w:val="20"/>
          <w:rtl/>
        </w:rPr>
        <w:t>.</w:t>
      </w:r>
      <w:r w:rsidR="00107074" w:rsidRPr="00A2478D">
        <w:rPr>
          <w:rFonts w:ascii="David" w:hAnsi="David" w:cs="David"/>
          <w:sz w:val="20"/>
          <w:szCs w:val="20"/>
          <w:rtl/>
        </w:rPr>
        <w:t xml:space="preserve"> ואילו אם ניכנע לכל רוח מצויה</w:t>
      </w:r>
      <w:r w:rsidR="00107074" w:rsidRPr="00A2478D">
        <w:rPr>
          <w:rFonts w:ascii="David" w:hAnsi="David" w:cs="David" w:hint="cs"/>
          <w:sz w:val="20"/>
          <w:szCs w:val="20"/>
          <w:rtl/>
        </w:rPr>
        <w:t>,</w:t>
      </w:r>
      <w:r w:rsidR="00107074" w:rsidRPr="00A2478D">
        <w:rPr>
          <w:rFonts w:ascii="David" w:hAnsi="David" w:cs="David"/>
          <w:sz w:val="20"/>
          <w:szCs w:val="20"/>
          <w:rtl/>
        </w:rPr>
        <w:t xml:space="preserve"> תתחזק התחושה והתפיסה כי "הרבנים יכולים לפסוק כראות עיניהם"</w:t>
      </w:r>
      <w:r w:rsidR="00107074" w:rsidRPr="00A2478D">
        <w:rPr>
          <w:rFonts w:ascii="David" w:hAnsi="David" w:cs="David" w:hint="cs"/>
          <w:sz w:val="20"/>
          <w:szCs w:val="20"/>
          <w:rtl/>
        </w:rPr>
        <w:t>,</w:t>
      </w:r>
      <w:r w:rsidR="00107074" w:rsidRPr="00A2478D">
        <w:rPr>
          <w:rFonts w:ascii="David" w:hAnsi="David" w:cs="David"/>
          <w:sz w:val="20"/>
          <w:szCs w:val="20"/>
          <w:rtl/>
        </w:rPr>
        <w:t xml:space="preserve"> וממילא </w:t>
      </w:r>
      <w:r w:rsidR="00107074" w:rsidRPr="00A2478D">
        <w:rPr>
          <w:rFonts w:ascii="David" w:hAnsi="David" w:cs="David" w:hint="cs"/>
          <w:sz w:val="20"/>
          <w:szCs w:val="20"/>
          <w:rtl/>
        </w:rPr>
        <w:t xml:space="preserve">ייווצרו </w:t>
      </w:r>
      <w:r w:rsidR="00107074" w:rsidRPr="00A2478D">
        <w:rPr>
          <w:rFonts w:ascii="David" w:hAnsi="David" w:cs="David"/>
          <w:sz w:val="20"/>
          <w:szCs w:val="20"/>
          <w:rtl/>
        </w:rPr>
        <w:t>יותר דרישות להתיר את האסור ואף איבה כלפיהם כל אימת שלא ייעתרו לדרישות כאלה.</w:t>
      </w:r>
    </w:p>
    <w:p w14:paraId="3F5AAEC0" w14:textId="6975B25D" w:rsidR="00107074" w:rsidRDefault="00306BB3" w:rsidP="00306BB3">
      <w:pPr>
        <w:tabs>
          <w:tab w:val="left" w:pos="140"/>
        </w:tabs>
        <w:ind w:left="140" w:hanging="142"/>
        <w:jc w:val="both"/>
        <w:rPr>
          <w:rFonts w:ascii="David" w:hAnsi="David" w:cs="David"/>
          <w:sz w:val="20"/>
          <w:szCs w:val="20"/>
          <w:rtl/>
        </w:rPr>
      </w:pPr>
      <w:r>
        <w:rPr>
          <w:rFonts w:ascii="David" w:hAnsi="David" w:cs="David"/>
          <w:sz w:val="20"/>
          <w:szCs w:val="20"/>
          <w:rtl/>
        </w:rPr>
        <w:tab/>
      </w:r>
      <w:r w:rsidR="00107074" w:rsidRPr="00A2478D">
        <w:rPr>
          <w:rFonts w:ascii="David" w:hAnsi="David" w:cs="David"/>
          <w:sz w:val="20"/>
          <w:szCs w:val="20"/>
          <w:rtl/>
        </w:rPr>
        <w:t>ועל כל פנים</w:t>
      </w:r>
      <w:r w:rsidR="00107074" w:rsidRPr="00A2478D">
        <w:rPr>
          <w:rFonts w:ascii="David" w:hAnsi="David" w:cs="David" w:hint="cs"/>
          <w:sz w:val="20"/>
          <w:szCs w:val="20"/>
          <w:rtl/>
        </w:rPr>
        <w:t>,</w:t>
      </w:r>
      <w:r w:rsidR="00107074" w:rsidRPr="00A2478D">
        <w:rPr>
          <w:rFonts w:ascii="David" w:hAnsi="David" w:cs="David"/>
          <w:sz w:val="20"/>
          <w:szCs w:val="20"/>
          <w:rtl/>
        </w:rPr>
        <w:t xml:space="preserve"> הלכה למעשה כאמור</w:t>
      </w:r>
      <w:r w:rsidR="00107074" w:rsidRPr="00A2478D">
        <w:rPr>
          <w:rFonts w:ascii="David" w:hAnsi="David" w:cs="David" w:hint="cs"/>
          <w:sz w:val="20"/>
          <w:szCs w:val="20"/>
          <w:rtl/>
        </w:rPr>
        <w:t>,</w:t>
      </w:r>
      <w:r w:rsidR="00107074" w:rsidRPr="00A2478D">
        <w:rPr>
          <w:rFonts w:ascii="David" w:hAnsi="David" w:cs="David"/>
          <w:sz w:val="20"/>
          <w:szCs w:val="20"/>
          <w:rtl/>
        </w:rPr>
        <w:t xml:space="preserve"> הגישה הרווחת אצל הפוסקים היא שלא להתיר גיור כזה, וזאת אף שלסברות ההיתר השונות היה מקום לצרף גם את הטענה שכל הכהנים בימינו אינם ודאיים אלא כהני חזקה בלבד ואת דברי מהרשד"ם ומהרש"ל וסיעתם (עיינו לעיל הערה 2).</w:t>
      </w:r>
    </w:p>
    <w:p w14:paraId="24455C39" w14:textId="13EFC10A" w:rsidR="00107074" w:rsidRDefault="00107074" w:rsidP="00306BB3">
      <w:pPr>
        <w:tabs>
          <w:tab w:val="left" w:pos="140"/>
        </w:tabs>
        <w:ind w:left="140" w:hanging="142"/>
        <w:jc w:val="both"/>
        <w:rPr>
          <w:rFonts w:ascii="David" w:hAnsi="David" w:cs="David"/>
          <w:sz w:val="20"/>
          <w:szCs w:val="20"/>
          <w:rtl/>
        </w:rPr>
      </w:pPr>
    </w:p>
    <w:p w14:paraId="5D78D483" w14:textId="3099A364" w:rsidR="00107074" w:rsidRPr="00FD6695" w:rsidRDefault="00107074" w:rsidP="00AE1822">
      <w:pPr>
        <w:ind w:left="4534"/>
        <w:jc w:val="center"/>
        <w:rPr>
          <w:rFonts w:cs="David"/>
          <w:rtl/>
          <w:lang w:eastAsia="he-IL"/>
        </w:rPr>
      </w:pPr>
      <w:r w:rsidRPr="00FD6695">
        <w:rPr>
          <w:rFonts w:cs="David"/>
          <w:rtl/>
          <w:lang w:eastAsia="he-IL"/>
        </w:rPr>
        <w:t>בשם צוות המשיבים ובברכת התורה,</w:t>
      </w:r>
    </w:p>
    <w:p w14:paraId="7F7D7F5A" w14:textId="77777777" w:rsidR="00107074" w:rsidRPr="00FD6695" w:rsidRDefault="00107074" w:rsidP="00AE1822">
      <w:pPr>
        <w:ind w:left="4534"/>
        <w:jc w:val="center"/>
        <w:rPr>
          <w:rFonts w:cs="David"/>
          <w:rtl/>
          <w:lang w:eastAsia="he-IL"/>
        </w:rPr>
      </w:pPr>
    </w:p>
    <w:p w14:paraId="0C8B90C4" w14:textId="77777777" w:rsidR="00107074" w:rsidRPr="00F80A28" w:rsidRDefault="00107074" w:rsidP="00AE1822">
      <w:pPr>
        <w:keepNext/>
        <w:ind w:left="4534"/>
        <w:jc w:val="center"/>
        <w:outlineLvl w:val="1"/>
        <w:rPr>
          <w:rFonts w:cs="David"/>
          <w:noProof/>
          <w:rtl/>
          <w:lang w:eastAsia="he-IL"/>
        </w:rPr>
      </w:pPr>
      <w:r w:rsidRPr="00F80A28">
        <w:rPr>
          <w:rFonts w:cs="David"/>
          <w:noProof/>
          <w:rtl/>
          <w:lang w:eastAsia="he-IL"/>
        </w:rPr>
        <w:t>הרב משה ארנרייך          הרב יוסף כרמל</w:t>
      </w:r>
    </w:p>
    <w:p w14:paraId="613D666C" w14:textId="77777777" w:rsidR="00107074" w:rsidRPr="00F80A28" w:rsidRDefault="00107074" w:rsidP="00AE1822">
      <w:pPr>
        <w:ind w:left="4534"/>
        <w:jc w:val="center"/>
        <w:rPr>
          <w:rFonts w:cs="David"/>
          <w:rtl/>
          <w:lang w:eastAsia="he-IL"/>
        </w:rPr>
      </w:pPr>
      <w:r w:rsidRPr="00F80A28">
        <w:rPr>
          <w:rFonts w:cs="David"/>
          <w:rtl/>
          <w:lang w:eastAsia="he-IL"/>
        </w:rPr>
        <w:t>ראשי הכולל</w:t>
      </w:r>
    </w:p>
    <w:p w14:paraId="0B8F386C" w14:textId="77777777" w:rsidR="00107074" w:rsidRPr="00F80A28" w:rsidRDefault="00107074" w:rsidP="00306BB3">
      <w:pPr>
        <w:ind w:left="-2"/>
        <w:jc w:val="both"/>
        <w:rPr>
          <w:rFonts w:cs="David"/>
          <w:u w:val="single"/>
          <w:rtl/>
          <w:lang w:eastAsia="he-IL"/>
        </w:rPr>
      </w:pPr>
      <w:r w:rsidRPr="00F80A28">
        <w:rPr>
          <w:rFonts w:cs="David"/>
          <w:u w:val="single"/>
          <w:rtl/>
          <w:lang w:eastAsia="he-IL"/>
        </w:rPr>
        <w:t>חברי הועדה המייעצת:</w:t>
      </w:r>
    </w:p>
    <w:p w14:paraId="10742C07" w14:textId="77777777" w:rsidR="00107074" w:rsidRPr="00F80A28" w:rsidRDefault="00107074" w:rsidP="00306BB3">
      <w:pPr>
        <w:ind w:left="-2"/>
        <w:jc w:val="both"/>
        <w:rPr>
          <w:rFonts w:cs="David"/>
          <w:sz w:val="23"/>
          <w:szCs w:val="23"/>
          <w:rtl/>
          <w:lang w:eastAsia="he-IL"/>
        </w:rPr>
      </w:pPr>
      <w:r w:rsidRPr="00F80A28">
        <w:rPr>
          <w:rFonts w:cs="David"/>
          <w:sz w:val="23"/>
          <w:szCs w:val="23"/>
          <w:rtl/>
          <w:lang w:eastAsia="he-IL"/>
        </w:rPr>
        <w:t>הרב זלמן נחמיה גולדברג</w:t>
      </w:r>
    </w:p>
    <w:p w14:paraId="53C9C323" w14:textId="77777777" w:rsidR="00107074" w:rsidRPr="00F80A28" w:rsidRDefault="00107074" w:rsidP="00306BB3">
      <w:pPr>
        <w:ind w:left="-2"/>
        <w:jc w:val="both"/>
        <w:rPr>
          <w:rFonts w:cs="David"/>
          <w:sz w:val="23"/>
          <w:szCs w:val="23"/>
          <w:rtl/>
          <w:lang w:eastAsia="he-IL"/>
        </w:rPr>
      </w:pPr>
      <w:r w:rsidRPr="00F80A28">
        <w:rPr>
          <w:rFonts w:cs="David"/>
          <w:sz w:val="23"/>
          <w:szCs w:val="23"/>
          <w:rtl/>
          <w:lang w:eastAsia="he-IL"/>
        </w:rPr>
        <w:t>הרב נחום אליעזר רבינוביץ</w:t>
      </w:r>
    </w:p>
    <w:p w14:paraId="7E4FF133" w14:textId="77777777" w:rsidR="00107074" w:rsidRPr="00F80A28" w:rsidRDefault="00107074" w:rsidP="00306BB3">
      <w:pPr>
        <w:ind w:left="-2"/>
        <w:jc w:val="both"/>
        <w:rPr>
          <w:rFonts w:cs="David"/>
          <w:sz w:val="23"/>
          <w:szCs w:val="23"/>
          <w:rtl/>
          <w:lang w:eastAsia="he-IL"/>
        </w:rPr>
      </w:pPr>
      <w:r w:rsidRPr="00F80A28">
        <w:rPr>
          <w:rFonts w:cs="David"/>
          <w:sz w:val="23"/>
          <w:szCs w:val="23"/>
          <w:rtl/>
          <w:lang w:eastAsia="he-IL"/>
        </w:rPr>
        <w:t>הרב ישראל רוזן</w:t>
      </w:r>
    </w:p>
    <w:p w14:paraId="017292F7" w14:textId="77777777" w:rsidR="00107074" w:rsidRPr="00AE1822" w:rsidRDefault="00107074" w:rsidP="00306BB3">
      <w:pPr>
        <w:ind w:left="-2"/>
        <w:contextualSpacing/>
        <w:jc w:val="center"/>
        <w:rPr>
          <w:rFonts w:cs="David"/>
          <w:b/>
          <w:bCs/>
          <w:color w:val="002060"/>
          <w:sz w:val="10"/>
          <w:szCs w:val="10"/>
          <w:u w:val="single"/>
          <w:lang w:eastAsia="he-IL"/>
        </w:rPr>
      </w:pPr>
    </w:p>
    <w:bookmarkStart w:id="3" w:name="_Hlk175743676"/>
    <w:p w14:paraId="735152B9" w14:textId="68C699BF" w:rsidR="00107074" w:rsidRDefault="00AE1822" w:rsidP="00AE1822">
      <w:pPr>
        <w:ind w:left="-2"/>
        <w:contextualSpacing/>
        <w:jc w:val="center"/>
        <w:rPr>
          <w:rStyle w:val="Hyperlink"/>
          <w:rFonts w:cs="David"/>
          <w:b/>
          <w:bCs/>
          <w:color w:val="0070C0"/>
          <w:sz w:val="20"/>
          <w:szCs w:val="20"/>
          <w:u w:val="none"/>
          <w:rtl/>
          <w:lang w:eastAsia="he-IL"/>
        </w:rPr>
      </w:pPr>
      <w:r>
        <w:fldChar w:fldCharType="begin"/>
      </w:r>
      <w:r>
        <w:instrText xml:space="preserve"> HYPERLINK "https://www.eretzhemdah.org/ebooks.asp?lang=he&amp;top=1&amp;pageid=28" </w:instrText>
      </w:r>
      <w:r>
        <w:fldChar w:fldCharType="separate"/>
      </w:r>
      <w:r w:rsidRPr="009E00AF">
        <w:rPr>
          <w:rStyle w:val="Hyperlink"/>
          <w:rFonts w:cs="David" w:hint="cs"/>
          <w:b/>
          <w:bCs/>
          <w:color w:val="002060"/>
          <w:rtl/>
          <w:lang w:eastAsia="he-IL"/>
        </w:rPr>
        <w:t>ארץ חמדה – קישור לשו"ת במראה הבזק באתר</w:t>
      </w:r>
      <w:r>
        <w:rPr>
          <w:rStyle w:val="Hyperlink"/>
          <w:rFonts w:cs="David"/>
          <w:b/>
          <w:bCs/>
          <w:color w:val="002060"/>
          <w:lang w:eastAsia="he-IL"/>
        </w:rPr>
        <w:fldChar w:fldCharType="end"/>
      </w:r>
      <w:r>
        <w:rPr>
          <w:rFonts w:cs="David" w:hint="cs"/>
          <w:b/>
          <w:bCs/>
          <w:color w:val="002060"/>
          <w:u w:val="single"/>
          <w:rtl/>
          <w:lang w:eastAsia="he-IL"/>
        </w:rPr>
        <w:t xml:space="preserve">  </w:t>
      </w:r>
      <w:r>
        <w:rPr>
          <w:rFonts w:cs="David" w:hint="cs"/>
          <w:b/>
          <w:bCs/>
          <w:color w:val="0070C0"/>
          <w:rtl/>
          <w:lang w:eastAsia="he-IL"/>
        </w:rPr>
        <w:t xml:space="preserve">      </w:t>
      </w:r>
      <w:r w:rsidR="00107074" w:rsidRPr="00DD6714">
        <w:rPr>
          <w:rFonts w:cs="David"/>
          <w:b/>
          <w:bCs/>
          <w:color w:val="0070C0"/>
          <w:rtl/>
          <w:lang w:eastAsia="he-IL"/>
        </w:rPr>
        <w:t>ניתן ליצור קשר עם הכותבים דרך</w:t>
      </w:r>
      <w:r w:rsidR="00107074" w:rsidRPr="00DD6714">
        <w:rPr>
          <w:rFonts w:cs="David" w:hint="cs"/>
          <w:b/>
          <w:bCs/>
          <w:color w:val="0070C0"/>
          <w:rtl/>
          <w:lang w:eastAsia="he-IL"/>
        </w:rPr>
        <w:t xml:space="preserve">: </w:t>
      </w:r>
      <w:r w:rsidR="00107074" w:rsidRPr="00DD6714">
        <w:rPr>
          <w:rFonts w:cs="David"/>
          <w:b/>
          <w:bCs/>
          <w:color w:val="0070C0"/>
          <w:rtl/>
          <w:lang w:eastAsia="he-IL"/>
        </w:rPr>
        <w:t xml:space="preserve"> </w:t>
      </w:r>
      <w:hyperlink r:id="rId1" w:history="1">
        <w:r w:rsidR="00107074" w:rsidRPr="00DD6714">
          <w:rPr>
            <w:color w:val="0070C0"/>
          </w:rPr>
          <w:t>info@eretzhemdah.org</w:t>
        </w:r>
      </w:hyperlink>
      <w:bookmarkEnd w:id="3"/>
    </w:p>
    <w:p w14:paraId="11DF6A29" w14:textId="77777777" w:rsidR="00107074" w:rsidRDefault="00107074" w:rsidP="00306BB3">
      <w:pPr>
        <w:ind w:left="-2"/>
        <w:contextualSpacing/>
        <w:rPr>
          <w:rStyle w:val="Hyperlink"/>
          <w:rFonts w:cs="David"/>
          <w:b/>
          <w:bCs/>
          <w:color w:val="0070C0"/>
          <w:sz w:val="20"/>
          <w:szCs w:val="20"/>
          <w:u w:val="none"/>
          <w:rtl/>
          <w:lang w:eastAsia="he-IL"/>
        </w:rPr>
      </w:pPr>
    </w:p>
    <w:p w14:paraId="6FCD574D" w14:textId="77777777" w:rsidR="00107074" w:rsidRPr="00A2478D" w:rsidRDefault="00107074" w:rsidP="00AE1822">
      <w:pPr>
        <w:jc w:val="both"/>
        <w:rPr>
          <w:rFonts w:ascii="David" w:hAnsi="David" w:cs="David"/>
          <w:sz w:val="20"/>
          <w:szCs w:val="20"/>
          <w:rt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14346AE1" w:rsidR="003056AF" w:rsidRPr="00FA505B" w:rsidRDefault="00306BB3"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34"/>
        <w:szCs w:val="34"/>
        <w:rtl/>
      </w:rPr>
      <w:t>לך-לך</w:t>
    </w:r>
    <w:r w:rsidR="00FA505B" w:rsidRPr="00FA505B">
      <w:rPr>
        <w:rFonts w:ascii="Arial Black" w:hAnsi="Arial Black" w:cs="David" w:hint="cs"/>
        <w:b/>
        <w:bCs/>
        <w:iCs/>
        <w:color w:val="993300"/>
        <w:sz w:val="30"/>
        <w:szCs w:val="30"/>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F2481"/>
    <w:multiLevelType w:val="hybridMultilevel"/>
    <w:tmpl w:val="69682D40"/>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3CE5ECE"/>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8D1A36"/>
    <w:multiLevelType w:val="hybridMultilevel"/>
    <w:tmpl w:val="7A0A436C"/>
    <w:lvl w:ilvl="0" w:tplc="55C61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61610F"/>
    <w:multiLevelType w:val="hybridMultilevel"/>
    <w:tmpl w:val="466E785C"/>
    <w:lvl w:ilvl="0" w:tplc="0C686F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22"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83693D"/>
    <w:multiLevelType w:val="hybridMultilevel"/>
    <w:tmpl w:val="568E1024"/>
    <w:lvl w:ilvl="0" w:tplc="727EC050">
      <w:start w:val="1"/>
      <w:numFmt w:val="hebrew1"/>
      <w:lvlText w:val="%1."/>
      <w:lvlJc w:val="center"/>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64223F"/>
    <w:multiLevelType w:val="hybridMultilevel"/>
    <w:tmpl w:val="EBCED028"/>
    <w:lvl w:ilvl="0" w:tplc="891EDC7A">
      <w:start w:val="2"/>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E64714"/>
    <w:multiLevelType w:val="hybridMultilevel"/>
    <w:tmpl w:val="13E4510A"/>
    <w:lvl w:ilvl="0" w:tplc="7A2ED386">
      <w:start w:val="1"/>
      <w:numFmt w:val="hebrew1"/>
      <w:lvlText w:val="%1."/>
      <w:lvlJc w:val="left"/>
      <w:pPr>
        <w:tabs>
          <w:tab w:val="num" w:pos="720"/>
        </w:tabs>
        <w:ind w:left="720" w:right="720" w:hanging="360"/>
      </w:pPr>
      <w:rPr>
        <w:rFonts w:hint="default"/>
      </w:rPr>
    </w:lvl>
    <w:lvl w:ilvl="1" w:tplc="5C86FDEA">
      <w:start w:val="41"/>
      <w:numFmt w:val="bullet"/>
      <w:lvlText w:val=""/>
      <w:lvlJc w:val="left"/>
      <w:pPr>
        <w:tabs>
          <w:tab w:val="num" w:pos="1440"/>
        </w:tabs>
        <w:ind w:left="1440" w:right="1440" w:hanging="360"/>
      </w:pPr>
      <w:rPr>
        <w:rFonts w:ascii="Symbol" w:eastAsia="Times New Roman" w:hAnsi="Symbol" w:cs="David"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8" w15:restartNumberingAfterBreak="0">
    <w:nsid w:val="78CC7B9C"/>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6"/>
  </w:num>
  <w:num w:numId="3">
    <w:abstractNumId w:val="29"/>
  </w:num>
  <w:num w:numId="4">
    <w:abstractNumId w:val="30"/>
  </w:num>
  <w:num w:numId="5">
    <w:abstractNumId w:val="10"/>
  </w:num>
  <w:num w:numId="6">
    <w:abstractNumId w:val="19"/>
  </w:num>
  <w:num w:numId="7">
    <w:abstractNumId w:val="15"/>
  </w:num>
  <w:num w:numId="8">
    <w:abstractNumId w:val="8"/>
  </w:num>
  <w:num w:numId="9">
    <w:abstractNumId w:val="13"/>
  </w:num>
  <w:num w:numId="10">
    <w:abstractNumId w:val="31"/>
  </w:num>
  <w:num w:numId="11">
    <w:abstractNumId w:val="17"/>
  </w:num>
  <w:num w:numId="12">
    <w:abstractNumId w:val="24"/>
  </w:num>
  <w:num w:numId="13">
    <w:abstractNumId w:val="18"/>
  </w:num>
  <w:num w:numId="14">
    <w:abstractNumId w:val="4"/>
  </w:num>
  <w:num w:numId="15">
    <w:abstractNumId w:val="20"/>
  </w:num>
  <w:num w:numId="16">
    <w:abstractNumId w:val="22"/>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21"/>
  </w:num>
  <w:num w:numId="21">
    <w:abstractNumId w:val="11"/>
  </w:num>
  <w:num w:numId="22">
    <w:abstractNumId w:val="25"/>
  </w:num>
  <w:num w:numId="23">
    <w:abstractNumId w:val="9"/>
  </w:num>
  <w:num w:numId="24">
    <w:abstractNumId w:val="27"/>
  </w:num>
  <w:num w:numId="25">
    <w:abstractNumId w:val="2"/>
  </w:num>
  <w:num w:numId="26">
    <w:abstractNumId w:val="7"/>
  </w:num>
  <w:num w:numId="27">
    <w:abstractNumId w:val="12"/>
  </w:num>
  <w:num w:numId="28">
    <w:abstractNumId w:val="6"/>
  </w:num>
  <w:num w:numId="29">
    <w:abstractNumId w:val="26"/>
  </w:num>
  <w:num w:numId="30">
    <w:abstractNumId w:val="28"/>
  </w:num>
  <w:num w:numId="31">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625"/>
    <w:rsid w:val="0031280B"/>
    <w:rsid w:val="00312A3A"/>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D93"/>
    <w:rsid w:val="00616EA3"/>
    <w:rsid w:val="00616EB3"/>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C4C"/>
    <w:rsid w:val="00892F1D"/>
    <w:rsid w:val="0089359C"/>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A2"/>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8F"/>
    <w:rsid w:val="00AF2C4D"/>
    <w:rsid w:val="00AF2EB4"/>
    <w:rsid w:val="00AF3513"/>
    <w:rsid w:val="00AF356B"/>
    <w:rsid w:val="00AF383F"/>
    <w:rsid w:val="00AF3B07"/>
    <w:rsid w:val="00AF3D18"/>
    <w:rsid w:val="00AF4158"/>
    <w:rsid w:val="00AF424A"/>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984"/>
    <w:rsid w:val="00C4035D"/>
    <w:rsid w:val="00C4045F"/>
    <w:rsid w:val="00C40468"/>
    <w:rsid w:val="00C406C6"/>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B3"/>
    <w:rsid w:val="00CF56F2"/>
    <w:rsid w:val="00CF5746"/>
    <w:rsid w:val="00CF6025"/>
    <w:rsid w:val="00CF6A5F"/>
    <w:rsid w:val="00CF6DE5"/>
    <w:rsid w:val="00CF6E95"/>
    <w:rsid w:val="00CF74CE"/>
    <w:rsid w:val="00CF7738"/>
    <w:rsid w:val="00CF7A2B"/>
    <w:rsid w:val="00D00334"/>
    <w:rsid w:val="00D00446"/>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F9A"/>
    <w:rsid w:val="00D516B8"/>
    <w:rsid w:val="00D51E01"/>
    <w:rsid w:val="00D52100"/>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F4E"/>
    <w:rsid w:val="00EC7F7E"/>
    <w:rsid w:val="00EC7FBA"/>
    <w:rsid w:val="00ED067D"/>
    <w:rsid w:val="00ED0A3A"/>
    <w:rsid w:val="00ED0AD1"/>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F38"/>
    <w:rsid w:val="00F041EB"/>
    <w:rsid w:val="00F041F2"/>
    <w:rsid w:val="00F0452F"/>
    <w:rsid w:val="00F04682"/>
    <w:rsid w:val="00F049B9"/>
    <w:rsid w:val="00F05034"/>
    <w:rsid w:val="00F050C3"/>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0"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7074"/>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mailto:info@eretzhemdah.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1937</Words>
  <Characters>9592</Characters>
  <Application>Microsoft Office Word</Application>
  <DocSecurity>0</DocSecurity>
  <Lines>79</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3</cp:revision>
  <cp:lastPrinted>2024-05-09T09:44:00Z</cp:lastPrinted>
  <dcterms:created xsi:type="dcterms:W3CDTF">2024-11-06T12:25:00Z</dcterms:created>
  <dcterms:modified xsi:type="dcterms:W3CDTF">2024-11-06T12:26:00Z</dcterms:modified>
</cp:coreProperties>
</file>