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24159F77"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E404F4">
              <w:rPr>
                <w:rFonts w:ascii="Arial Black" w:hAnsi="Arial Black" w:cs="David" w:hint="cs"/>
                <w:b/>
                <w:bCs/>
                <w:iCs/>
                <w:color w:val="993300"/>
                <w:sz w:val="48"/>
                <w:szCs w:val="48"/>
                <w:rtl/>
              </w:rPr>
              <w:t>תולדות</w:t>
            </w:r>
            <w:r w:rsidR="008811EE">
              <w:rPr>
                <w:rFonts w:ascii="Arial Black" w:hAnsi="Arial Black" w:cs="David" w:hint="cs"/>
                <w:b/>
                <w:bCs/>
                <w:iCs/>
                <w:color w:val="993300"/>
                <w:sz w:val="52"/>
                <w:szCs w:val="52"/>
                <w:rtl/>
              </w:rPr>
              <w:t xml:space="preserve"> </w:t>
            </w:r>
            <w:r w:rsidR="00FA505B" w:rsidRPr="00FA505B">
              <w:rPr>
                <w:rFonts w:ascii="Arial Black" w:hAnsi="Arial Black" w:cs="David" w:hint="cs"/>
                <w:b/>
                <w:bCs/>
                <w:iCs/>
                <w:color w:val="993300"/>
                <w:sz w:val="30"/>
                <w:szCs w:val="30"/>
                <w:rtl/>
              </w:rPr>
              <w:t xml:space="preserve"> </w:t>
            </w:r>
            <w:r w:rsidR="001E67B5" w:rsidRPr="00974E3A">
              <w:rPr>
                <w:rFonts w:ascii="Arial Black" w:hAnsi="Arial Black" w:cs="David" w:hint="cs"/>
                <w:b/>
                <w:bCs/>
                <w:iCs/>
                <w:color w:val="993300"/>
                <w:sz w:val="38"/>
                <w:szCs w:val="38"/>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46369A30" w14:textId="77777777" w:rsidR="00D91886" w:rsidRPr="00D91886" w:rsidRDefault="00D91886" w:rsidP="00D91886">
            <w:pPr>
              <w:ind w:left="453" w:right="746"/>
              <w:jc w:val="center"/>
              <w:rPr>
                <w:rFonts w:ascii="FrankRuehl" w:hAnsi="FrankRuehl" w:cs="FrankRuehl"/>
                <w:b/>
                <w:bCs/>
                <w:color w:val="0070C0"/>
                <w:sz w:val="32"/>
                <w:szCs w:val="32"/>
                <w:u w:val="single"/>
                <w:rtl/>
              </w:rPr>
            </w:pPr>
            <w:r w:rsidRPr="00D91886">
              <w:rPr>
                <w:rFonts w:ascii="FrankRuehl" w:hAnsi="FrankRuehl" w:cs="FrankRuehl" w:hint="cs"/>
                <w:b/>
                <w:bCs/>
                <w:color w:val="0070C0"/>
                <w:sz w:val="32"/>
                <w:szCs w:val="32"/>
                <w:u w:val="single"/>
                <w:rtl/>
              </w:rPr>
              <w:t>על בן ובנים, או איך מבטיחים את העתיד?</w:t>
            </w:r>
          </w:p>
          <w:p w14:paraId="3C30A566" w14:textId="5BD1DDD6" w:rsidR="00313B91" w:rsidRPr="00D037B4" w:rsidRDefault="00E8510C" w:rsidP="00D8573D">
            <w:pPr>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182FF773" w14:textId="77777777" w:rsidR="00D8573D" w:rsidRPr="00D8573D" w:rsidRDefault="00D8573D" w:rsidP="00D8573D">
            <w:pPr>
              <w:spacing w:line="252" w:lineRule="auto"/>
              <w:ind w:left="453" w:right="746"/>
              <w:rPr>
                <w:rFonts w:ascii="David" w:hAnsi="David" w:cs="David"/>
                <w:b/>
                <w:bCs/>
                <w:sz w:val="10"/>
                <w:szCs w:val="10"/>
                <w:rtl/>
              </w:rPr>
            </w:pPr>
          </w:p>
          <w:p w14:paraId="19590A8F"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פרשתנו פותחת בהכרזה: "וְאֵלֶּה תּוֹלְדֹת יִצְחָק בֶּן אַבְרָהָם </w:t>
            </w:r>
            <w:proofErr w:type="spellStart"/>
            <w:r w:rsidRPr="00D91886">
              <w:rPr>
                <w:rFonts w:ascii="David" w:hAnsi="David" w:cs="David"/>
                <w:sz w:val="23"/>
                <w:szCs w:val="23"/>
                <w:rtl/>
              </w:rPr>
              <w:t>אַבְרָהָם</w:t>
            </w:r>
            <w:proofErr w:type="spellEnd"/>
            <w:r w:rsidRPr="00D91886">
              <w:rPr>
                <w:rFonts w:ascii="David" w:hAnsi="David" w:cs="David"/>
                <w:sz w:val="23"/>
                <w:szCs w:val="23"/>
                <w:rtl/>
              </w:rPr>
              <w:t xml:space="preserve"> הוֹלִיד אֶת יִצְחָק" (בראשית כה, </w:t>
            </w:r>
            <w:proofErr w:type="spellStart"/>
            <w:r w:rsidRPr="00D91886">
              <w:rPr>
                <w:rFonts w:ascii="David" w:hAnsi="David" w:cs="David"/>
                <w:sz w:val="23"/>
                <w:szCs w:val="23"/>
                <w:rtl/>
              </w:rPr>
              <w:t>יט</w:t>
            </w:r>
            <w:proofErr w:type="spellEnd"/>
            <w:r w:rsidRPr="00D91886">
              <w:rPr>
                <w:rFonts w:ascii="David" w:hAnsi="David" w:cs="David"/>
                <w:sz w:val="23"/>
                <w:szCs w:val="23"/>
                <w:rtl/>
              </w:rPr>
              <w:t xml:space="preserve">). </w:t>
            </w:r>
          </w:p>
          <w:p w14:paraId="07F6D436"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לאברהם </w:t>
            </w:r>
            <w:r w:rsidRPr="00D91886">
              <w:rPr>
                <w:rFonts w:ascii="David" w:hAnsi="David" w:cs="David"/>
                <w:b/>
                <w:bCs/>
                <w:sz w:val="23"/>
                <w:szCs w:val="23"/>
                <w:rtl/>
              </w:rPr>
              <w:t>בן</w:t>
            </w:r>
            <w:r w:rsidRPr="00D91886">
              <w:rPr>
                <w:rFonts w:ascii="David" w:hAnsi="David" w:cs="David"/>
                <w:sz w:val="23"/>
                <w:szCs w:val="23"/>
                <w:rtl/>
              </w:rPr>
              <w:t xml:space="preserve"> אחד משרה אמנו – </w:t>
            </w:r>
            <w:r w:rsidRPr="00D91886">
              <w:rPr>
                <w:rFonts w:ascii="FrankRuehl" w:hAnsi="FrankRuehl" w:cs="FrankRuehl"/>
                <w:rtl/>
              </w:rPr>
              <w:t>"אֶת בִּנְךָ אֶת יְחִידְךָ"</w:t>
            </w:r>
            <w:r w:rsidRPr="00D91886">
              <w:rPr>
                <w:rFonts w:ascii="David" w:hAnsi="David" w:cs="David"/>
                <w:sz w:val="23"/>
                <w:szCs w:val="23"/>
                <w:rtl/>
              </w:rPr>
              <w:t xml:space="preserve"> </w:t>
            </w:r>
            <w:r w:rsidRPr="00D91886">
              <w:rPr>
                <w:rFonts w:ascii="David" w:hAnsi="David" w:cs="David"/>
                <w:sz w:val="20"/>
                <w:szCs w:val="20"/>
                <w:rtl/>
              </w:rPr>
              <w:t>(</w:t>
            </w:r>
            <w:proofErr w:type="spellStart"/>
            <w:r w:rsidRPr="00D91886">
              <w:rPr>
                <w:rFonts w:ascii="David" w:hAnsi="David" w:cs="David"/>
                <w:sz w:val="20"/>
                <w:szCs w:val="20"/>
                <w:rtl/>
              </w:rPr>
              <w:t>כב</w:t>
            </w:r>
            <w:proofErr w:type="spellEnd"/>
            <w:r w:rsidRPr="00D91886">
              <w:rPr>
                <w:rFonts w:ascii="David" w:hAnsi="David" w:cs="David"/>
                <w:sz w:val="20"/>
                <w:szCs w:val="20"/>
                <w:rtl/>
              </w:rPr>
              <w:t>, ב).</w:t>
            </w:r>
            <w:r w:rsidRPr="00D91886">
              <w:rPr>
                <w:rFonts w:ascii="David" w:hAnsi="David" w:cs="David"/>
                <w:sz w:val="23"/>
                <w:szCs w:val="23"/>
                <w:rtl/>
              </w:rPr>
              <w:t xml:space="preserve"> גם ליצחק רק </w:t>
            </w:r>
            <w:r w:rsidRPr="00D91886">
              <w:rPr>
                <w:rFonts w:ascii="David" w:hAnsi="David" w:cs="David"/>
                <w:b/>
                <w:bCs/>
                <w:sz w:val="23"/>
                <w:szCs w:val="23"/>
                <w:rtl/>
              </w:rPr>
              <w:t xml:space="preserve">בן </w:t>
            </w:r>
            <w:r w:rsidRPr="00D91886">
              <w:rPr>
                <w:rFonts w:ascii="David" w:hAnsi="David" w:cs="David"/>
                <w:sz w:val="23"/>
                <w:szCs w:val="23"/>
                <w:rtl/>
              </w:rPr>
              <w:t xml:space="preserve">אחד שממשיך את דרכו והוא יעקב, </w:t>
            </w:r>
            <w:r w:rsidRPr="00D91886">
              <w:rPr>
                <w:rFonts w:ascii="FrankRuehl" w:hAnsi="FrankRuehl" w:cs="FrankRuehl"/>
                <w:rtl/>
              </w:rPr>
              <w:t>"כִּי בְיִצְחָק יִקָּרֵא לְךָ זָרַע"</w:t>
            </w:r>
            <w:r w:rsidRPr="00D91886">
              <w:rPr>
                <w:rFonts w:ascii="David" w:hAnsi="David" w:cs="David"/>
                <w:sz w:val="23"/>
                <w:szCs w:val="23"/>
                <w:rtl/>
              </w:rPr>
              <w:t xml:space="preserve"> </w:t>
            </w:r>
            <w:r w:rsidRPr="00D91886">
              <w:rPr>
                <w:rFonts w:ascii="David" w:hAnsi="David" w:cs="David"/>
                <w:sz w:val="20"/>
                <w:szCs w:val="20"/>
                <w:rtl/>
              </w:rPr>
              <w:t>(</w:t>
            </w:r>
            <w:proofErr w:type="spellStart"/>
            <w:r w:rsidRPr="00D91886">
              <w:rPr>
                <w:rFonts w:ascii="David" w:hAnsi="David" w:cs="David"/>
                <w:sz w:val="20"/>
                <w:szCs w:val="20"/>
                <w:rtl/>
              </w:rPr>
              <w:t>כא,יב</w:t>
            </w:r>
            <w:proofErr w:type="spellEnd"/>
            <w:r w:rsidRPr="00D91886">
              <w:rPr>
                <w:rFonts w:ascii="David" w:hAnsi="David" w:cs="David"/>
                <w:sz w:val="20"/>
                <w:szCs w:val="20"/>
                <w:rtl/>
              </w:rPr>
              <w:t>)</w:t>
            </w:r>
            <w:r w:rsidRPr="00D91886">
              <w:rPr>
                <w:rFonts w:ascii="David" w:hAnsi="David" w:cs="David"/>
                <w:sz w:val="23"/>
                <w:szCs w:val="23"/>
                <w:rtl/>
              </w:rPr>
              <w:t xml:space="preserve"> "</w:t>
            </w:r>
            <w:r w:rsidRPr="00D91886">
              <w:rPr>
                <w:rFonts w:ascii="FrankRuehl" w:hAnsi="FrankRuehl" w:cs="FrankRuehl"/>
                <w:rtl/>
              </w:rPr>
              <w:t>בְיִצְחָק</w:t>
            </w:r>
            <w:r w:rsidRPr="00D91886">
              <w:rPr>
                <w:rFonts w:ascii="David" w:hAnsi="David" w:cs="David"/>
                <w:sz w:val="23"/>
                <w:szCs w:val="23"/>
                <w:rtl/>
              </w:rPr>
              <w:t xml:space="preserve"> ולא כל יצחק" </w:t>
            </w:r>
            <w:r w:rsidRPr="00D91886">
              <w:rPr>
                <w:rFonts w:ascii="David" w:hAnsi="David" w:cs="David"/>
                <w:sz w:val="20"/>
                <w:szCs w:val="20"/>
                <w:rtl/>
              </w:rPr>
              <w:t>(סנהדרין נט ע"ב).</w:t>
            </w:r>
            <w:r w:rsidRPr="00D91886">
              <w:rPr>
                <w:rFonts w:ascii="David" w:hAnsi="David" w:cs="David"/>
                <w:sz w:val="23"/>
                <w:szCs w:val="23"/>
                <w:rtl/>
              </w:rPr>
              <w:t xml:space="preserve"> </w:t>
            </w:r>
          </w:p>
          <w:p w14:paraId="2337E14D"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במשפחתו של יעקב אבינו המצב משתנה, יש לו </w:t>
            </w:r>
            <w:r w:rsidRPr="00D91886">
              <w:rPr>
                <w:rFonts w:ascii="David" w:hAnsi="David" w:cs="David"/>
                <w:b/>
                <w:bCs/>
                <w:sz w:val="23"/>
                <w:szCs w:val="23"/>
                <w:rtl/>
              </w:rPr>
              <w:t>בנים</w:t>
            </w:r>
            <w:r w:rsidRPr="00D91886">
              <w:rPr>
                <w:rFonts w:ascii="David" w:hAnsi="David" w:cs="David"/>
                <w:sz w:val="23"/>
                <w:szCs w:val="23"/>
                <w:rtl/>
              </w:rPr>
              <w:t xml:space="preserve">. הם מופיעים בתנ"ך </w:t>
            </w:r>
            <w:proofErr w:type="spellStart"/>
            <w:r w:rsidRPr="00D91886">
              <w:rPr>
                <w:rFonts w:ascii="FrankRuehl" w:hAnsi="FrankRuehl" w:cs="FrankRuehl"/>
                <w:rtl/>
              </w:rPr>
              <w:t>כ"בְנֵי</w:t>
            </w:r>
            <w:proofErr w:type="spellEnd"/>
            <w:r w:rsidRPr="00D91886">
              <w:rPr>
                <w:rFonts w:ascii="FrankRuehl" w:hAnsi="FrankRuehl" w:cs="FrankRuehl"/>
                <w:rtl/>
              </w:rPr>
              <w:t xml:space="preserve"> יַעֲקֹב"</w:t>
            </w:r>
            <w:r w:rsidRPr="00D91886">
              <w:rPr>
                <w:rFonts w:ascii="David" w:hAnsi="David" w:cs="David"/>
                <w:sz w:val="23"/>
                <w:szCs w:val="23"/>
                <w:rtl/>
              </w:rPr>
              <w:t xml:space="preserve"> או </w:t>
            </w:r>
            <w:proofErr w:type="spellStart"/>
            <w:r w:rsidRPr="00D91886">
              <w:rPr>
                <w:rFonts w:ascii="FrankRuehl" w:hAnsi="FrankRuehl" w:cs="FrankRuehl"/>
                <w:rtl/>
              </w:rPr>
              <w:t>כ"</w:t>
            </w:r>
            <w:r w:rsidRPr="00D91886">
              <w:rPr>
                <w:rFonts w:ascii="FrankRuehl" w:hAnsi="FrankRuehl" w:cs="FrankRuehl"/>
                <w:b/>
                <w:bCs/>
                <w:rtl/>
              </w:rPr>
              <w:t>יַעֲקֹב</w:t>
            </w:r>
            <w:proofErr w:type="spellEnd"/>
            <w:r w:rsidRPr="00D91886">
              <w:rPr>
                <w:rFonts w:ascii="FrankRuehl" w:hAnsi="FrankRuehl" w:cs="FrankRuehl"/>
                <w:b/>
                <w:bCs/>
                <w:rtl/>
              </w:rPr>
              <w:t xml:space="preserve"> וּבָנָיו</w:t>
            </w:r>
            <w:r w:rsidRPr="00D91886">
              <w:rPr>
                <w:rFonts w:ascii="FrankRuehl" w:hAnsi="FrankRuehl" w:cs="FrankRuehl"/>
                <w:rtl/>
              </w:rPr>
              <w:t>"</w:t>
            </w:r>
            <w:r w:rsidRPr="00D91886">
              <w:rPr>
                <w:rFonts w:ascii="David" w:hAnsi="David" w:cs="David"/>
                <w:sz w:val="23"/>
                <w:szCs w:val="23"/>
                <w:rtl/>
              </w:rPr>
              <w:t xml:space="preserve"> (ביטויים אלה מופיעים בתנ"ך 17 פעמים). שינוי זה קיבל בפי חז"ל גם כינוי חדש – "</w:t>
            </w:r>
            <w:proofErr w:type="spellStart"/>
            <w:r w:rsidRPr="00D91886">
              <w:rPr>
                <w:rFonts w:ascii="David" w:hAnsi="David" w:cs="David"/>
                <w:sz w:val="23"/>
                <w:szCs w:val="23"/>
                <w:rtl/>
              </w:rPr>
              <w:t>מטתו</w:t>
            </w:r>
            <w:proofErr w:type="spellEnd"/>
            <w:r w:rsidRPr="00D91886">
              <w:rPr>
                <w:rFonts w:ascii="David" w:hAnsi="David" w:cs="David"/>
                <w:sz w:val="23"/>
                <w:szCs w:val="23"/>
                <w:rtl/>
              </w:rPr>
              <w:t xml:space="preserve"> של יעקב שלימה" </w:t>
            </w:r>
            <w:r w:rsidRPr="00D91886">
              <w:rPr>
                <w:rFonts w:ascii="David" w:hAnsi="David" w:cs="David"/>
                <w:sz w:val="20"/>
                <w:szCs w:val="20"/>
                <w:rtl/>
              </w:rPr>
              <w:t xml:space="preserve">(רש"י בראשית </w:t>
            </w:r>
            <w:proofErr w:type="spellStart"/>
            <w:r w:rsidRPr="00D91886">
              <w:rPr>
                <w:rFonts w:ascii="David" w:hAnsi="David" w:cs="David"/>
                <w:sz w:val="20"/>
                <w:szCs w:val="20"/>
                <w:rtl/>
              </w:rPr>
              <w:t>מז,לא</w:t>
            </w:r>
            <w:proofErr w:type="spellEnd"/>
            <w:r w:rsidRPr="00D91886">
              <w:rPr>
                <w:rFonts w:ascii="David" w:hAnsi="David" w:cs="David"/>
                <w:sz w:val="20"/>
                <w:szCs w:val="20"/>
                <w:rtl/>
              </w:rPr>
              <w:t>).</w:t>
            </w:r>
            <w:r w:rsidRPr="00D91886">
              <w:rPr>
                <w:rFonts w:ascii="David" w:hAnsi="David" w:cs="David"/>
                <w:sz w:val="23"/>
                <w:szCs w:val="23"/>
                <w:rtl/>
              </w:rPr>
              <w:t xml:space="preserve"> כך מתחיל סיפורם של האבות כסיפור של עם.</w:t>
            </w:r>
          </w:p>
          <w:p w14:paraId="31CB1DF7"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באמצעות שני קטעים מהתלמוד הבבלי, ננסה להבין משמעות נוספת של שינוי לאומי, שהתרחש בימיהם של רבי יהודה הנשיא וחברו תלמידו -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הגדול ובניו. </w:t>
            </w:r>
          </w:p>
          <w:p w14:paraId="58496226"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רבי יהודה הנשיא, כידוע לרבים, היה מי שכתב את המשנה ובכך הפכה תורה שבעל פה לתורה שבכתב. גם צעד משמעותי זה </w:t>
            </w:r>
            <w:proofErr w:type="spellStart"/>
            <w:r w:rsidRPr="00D91886">
              <w:rPr>
                <w:rFonts w:ascii="David" w:hAnsi="David" w:cs="David"/>
                <w:sz w:val="23"/>
                <w:szCs w:val="23"/>
                <w:rtl/>
              </w:rPr>
              <w:t>איפשר</w:t>
            </w:r>
            <w:proofErr w:type="spellEnd"/>
            <w:r w:rsidRPr="00D91886">
              <w:rPr>
                <w:rFonts w:ascii="David" w:hAnsi="David" w:cs="David"/>
                <w:sz w:val="23"/>
                <w:szCs w:val="23"/>
                <w:rtl/>
              </w:rPr>
              <w:t xml:space="preserve"> את המשך העברת המסורת של תורה שבע"פ, במשך קרוב לאלפיים שנות גלות, נדידות, גזרות קשות ותקופות נוראיות כמו מסעי הצלב, גירוש ספרד ושואת יהודי אירופה. מפעלו הרוחני של רבי יהודה הנשיא הוא שהבטיח את המשך קיומו של עם ישראל, תורה בע"פ לא הייתה שורדת אף אחת מתקופות אלה. </w:t>
            </w:r>
          </w:p>
          <w:p w14:paraId="12472858"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גם לרבי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חלק חשוב במבצע זה, בכתיבת </w:t>
            </w:r>
            <w:proofErr w:type="spellStart"/>
            <w:r w:rsidRPr="00D91886">
              <w:rPr>
                <w:rFonts w:ascii="David" w:hAnsi="David" w:cs="David"/>
                <w:sz w:val="23"/>
                <w:szCs w:val="23"/>
                <w:rtl/>
              </w:rPr>
              <w:t>הברייתות</w:t>
            </w:r>
            <w:proofErr w:type="spellEnd"/>
            <w:r w:rsidRPr="00D91886">
              <w:rPr>
                <w:rFonts w:ascii="David" w:hAnsi="David" w:cs="David"/>
                <w:sz w:val="23"/>
                <w:szCs w:val="23"/>
                <w:rtl/>
              </w:rPr>
              <w:t xml:space="preserve"> שלא "זכו" </w:t>
            </w:r>
            <w:proofErr w:type="spellStart"/>
            <w:r w:rsidRPr="00D91886">
              <w:rPr>
                <w:rFonts w:ascii="David" w:hAnsi="David" w:cs="David"/>
                <w:sz w:val="23"/>
                <w:szCs w:val="23"/>
                <w:rtl/>
              </w:rPr>
              <w:t>להכנס</w:t>
            </w:r>
            <w:proofErr w:type="spellEnd"/>
            <w:r w:rsidRPr="00D91886">
              <w:rPr>
                <w:rFonts w:ascii="David" w:hAnsi="David" w:cs="David"/>
                <w:sz w:val="23"/>
                <w:szCs w:val="23"/>
                <w:rtl/>
              </w:rPr>
              <w:t xml:space="preserve"> למשנה, אבל הן חלק מהותי של תורה שבע"פ. ואומנם דווקא אצל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אנו מוצאים את הביטוי המיוחד "</w:t>
            </w:r>
            <w:r w:rsidRPr="00D91886">
              <w:rPr>
                <w:rFonts w:ascii="David" w:hAnsi="David" w:cs="David"/>
                <w:b/>
                <w:bCs/>
                <w:sz w:val="23"/>
                <w:szCs w:val="23"/>
                <w:rtl/>
              </w:rPr>
              <w:t xml:space="preserve">רבי </w:t>
            </w:r>
            <w:proofErr w:type="spellStart"/>
            <w:r w:rsidRPr="00D91886">
              <w:rPr>
                <w:rFonts w:ascii="David" w:hAnsi="David" w:cs="David"/>
                <w:b/>
                <w:bCs/>
                <w:sz w:val="23"/>
                <w:szCs w:val="23"/>
                <w:rtl/>
              </w:rPr>
              <w:t>חייא</w:t>
            </w:r>
            <w:proofErr w:type="spellEnd"/>
            <w:r w:rsidRPr="00D91886">
              <w:rPr>
                <w:rFonts w:ascii="David" w:hAnsi="David" w:cs="David"/>
                <w:b/>
                <w:bCs/>
                <w:sz w:val="23"/>
                <w:szCs w:val="23"/>
                <w:rtl/>
              </w:rPr>
              <w:t xml:space="preserve"> ובניו</w:t>
            </w:r>
            <w:r w:rsidRPr="00D91886">
              <w:rPr>
                <w:rFonts w:ascii="David" w:hAnsi="David" w:cs="David"/>
                <w:sz w:val="23"/>
                <w:szCs w:val="23"/>
                <w:rtl/>
              </w:rPr>
              <w:t>".</w:t>
            </w:r>
          </w:p>
          <w:p w14:paraId="4EE377F5"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הקטע הראשון מופיע במסכת סוכה: "</w:t>
            </w:r>
            <w:proofErr w:type="spellStart"/>
            <w:r w:rsidRPr="00D91886">
              <w:rPr>
                <w:rFonts w:ascii="David" w:hAnsi="David" w:cs="David"/>
                <w:sz w:val="23"/>
                <w:szCs w:val="23"/>
                <w:rtl/>
              </w:rPr>
              <w:t>דאמר</w:t>
            </w:r>
            <w:proofErr w:type="spellEnd"/>
            <w:r w:rsidRPr="00D91886">
              <w:rPr>
                <w:rFonts w:ascii="David" w:hAnsi="David" w:cs="David"/>
                <w:sz w:val="23"/>
                <w:szCs w:val="23"/>
                <w:rtl/>
              </w:rPr>
              <w:t xml:space="preserve"> ריש לקיש: הריני כפרת </w:t>
            </w:r>
            <w:r w:rsidRPr="00D91886">
              <w:rPr>
                <w:rFonts w:ascii="David" w:hAnsi="David" w:cs="David"/>
                <w:b/>
                <w:bCs/>
                <w:sz w:val="23"/>
                <w:szCs w:val="23"/>
                <w:rtl/>
              </w:rPr>
              <w:t xml:space="preserve">רבי </w:t>
            </w:r>
            <w:proofErr w:type="spellStart"/>
            <w:r w:rsidRPr="00D91886">
              <w:rPr>
                <w:rFonts w:ascii="David" w:hAnsi="David" w:cs="David"/>
                <w:b/>
                <w:bCs/>
                <w:sz w:val="23"/>
                <w:szCs w:val="23"/>
                <w:rtl/>
              </w:rPr>
              <w:t>חייא</w:t>
            </w:r>
            <w:proofErr w:type="spellEnd"/>
            <w:r w:rsidRPr="00D91886">
              <w:rPr>
                <w:rFonts w:ascii="David" w:hAnsi="David" w:cs="David"/>
                <w:b/>
                <w:bCs/>
                <w:sz w:val="23"/>
                <w:szCs w:val="23"/>
                <w:rtl/>
              </w:rPr>
              <w:t xml:space="preserve"> ובניו</w:t>
            </w:r>
            <w:r w:rsidRPr="00D91886">
              <w:rPr>
                <w:rFonts w:ascii="David" w:hAnsi="David" w:cs="David"/>
                <w:sz w:val="23"/>
                <w:szCs w:val="23"/>
                <w:rtl/>
              </w:rPr>
              <w:t xml:space="preserve">. </w:t>
            </w:r>
            <w:proofErr w:type="spellStart"/>
            <w:r w:rsidRPr="00D91886">
              <w:rPr>
                <w:rFonts w:ascii="David" w:hAnsi="David" w:cs="David"/>
                <w:sz w:val="23"/>
                <w:szCs w:val="23"/>
                <w:rtl/>
              </w:rPr>
              <w:t>שבתחלה</w:t>
            </w:r>
            <w:proofErr w:type="spellEnd"/>
            <w:r w:rsidRPr="00D91886">
              <w:rPr>
                <w:rFonts w:ascii="David" w:hAnsi="David" w:cs="David"/>
                <w:sz w:val="23"/>
                <w:szCs w:val="23"/>
                <w:rtl/>
              </w:rPr>
              <w:t xml:space="preserve"> כשנשתכחה תורה מישראל עלה עזרא מבבל ויסדה, חזרה ונשתכחה עלה הלל הבבלי ויסדה, חזרה ונשתכחה עלו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ויסדוה" </w:t>
            </w:r>
            <w:r w:rsidRPr="00D91886">
              <w:rPr>
                <w:rFonts w:ascii="David" w:hAnsi="David" w:cs="David"/>
                <w:sz w:val="20"/>
                <w:szCs w:val="20"/>
                <w:rtl/>
              </w:rPr>
              <w:t xml:space="preserve">(דף כ ע"א). </w:t>
            </w:r>
            <w:r w:rsidRPr="00D91886">
              <w:rPr>
                <w:rFonts w:ascii="David" w:hAnsi="David" w:cs="David"/>
                <w:sz w:val="23"/>
                <w:szCs w:val="23"/>
                <w:rtl/>
              </w:rPr>
              <w:t xml:space="preserve">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זכו להיכנס לרשימה מאוד מיוחדת, יחד עם עזרא הסופר והלל הזקן. </w:t>
            </w:r>
          </w:p>
          <w:p w14:paraId="077DD07E"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הקטע השני מופיע במסכת בבא מציעא, וגם שם הדורש הוא ריש לקיש, והוא עוסק במעמדה המיוחדת של משפחת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"ריש לקיש </w:t>
            </w:r>
            <w:proofErr w:type="spellStart"/>
            <w:r w:rsidRPr="00D91886">
              <w:rPr>
                <w:rFonts w:ascii="David" w:hAnsi="David" w:cs="David"/>
                <w:sz w:val="23"/>
                <w:szCs w:val="23"/>
                <w:rtl/>
              </w:rPr>
              <w:t>הוה</w:t>
            </w:r>
            <w:proofErr w:type="spellEnd"/>
            <w:r w:rsidRPr="00D91886">
              <w:rPr>
                <w:rFonts w:ascii="David" w:hAnsi="David" w:cs="David"/>
                <w:sz w:val="23"/>
                <w:szCs w:val="23"/>
                <w:rtl/>
              </w:rPr>
              <w:t xml:space="preserve"> מציין </w:t>
            </w:r>
            <w:proofErr w:type="spellStart"/>
            <w:r w:rsidRPr="00D91886">
              <w:rPr>
                <w:rFonts w:ascii="David" w:hAnsi="David" w:cs="David"/>
                <w:sz w:val="23"/>
                <w:szCs w:val="23"/>
                <w:rtl/>
              </w:rPr>
              <w:t>מערתא</w:t>
            </w:r>
            <w:proofErr w:type="spellEnd"/>
            <w:r w:rsidRPr="00D91886">
              <w:rPr>
                <w:rFonts w:ascii="David" w:hAnsi="David" w:cs="David"/>
                <w:sz w:val="23"/>
                <w:szCs w:val="23"/>
                <w:rtl/>
              </w:rPr>
              <w:t xml:space="preserve"> דרבנן, כי מטא </w:t>
            </w:r>
            <w:proofErr w:type="spellStart"/>
            <w:r w:rsidRPr="00D91886">
              <w:rPr>
                <w:rFonts w:ascii="David" w:hAnsi="David" w:cs="David"/>
                <w:sz w:val="23"/>
                <w:szCs w:val="23"/>
                <w:rtl/>
              </w:rPr>
              <w:t>למערתיה</w:t>
            </w:r>
            <w:proofErr w:type="spellEnd"/>
            <w:r w:rsidRPr="00D91886">
              <w:rPr>
                <w:rFonts w:ascii="David" w:hAnsi="David" w:cs="David"/>
                <w:sz w:val="23"/>
                <w:szCs w:val="23"/>
                <w:rtl/>
              </w:rPr>
              <w:t xml:space="preserve"> דרבי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איעלמא</w:t>
            </w:r>
            <w:proofErr w:type="spellEnd"/>
            <w:r w:rsidRPr="00D91886">
              <w:rPr>
                <w:rFonts w:ascii="David" w:hAnsi="David" w:cs="David"/>
                <w:sz w:val="23"/>
                <w:szCs w:val="23"/>
                <w:rtl/>
              </w:rPr>
              <w:t xml:space="preserve"> מיניה (ריש לקיש לא הצליח לזהות את מיקומה של המערה בה נקברו בני משפחת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הגדול). חלש </w:t>
            </w:r>
            <w:proofErr w:type="spellStart"/>
            <w:r w:rsidRPr="00D91886">
              <w:rPr>
                <w:rFonts w:ascii="David" w:hAnsi="David" w:cs="David"/>
                <w:sz w:val="23"/>
                <w:szCs w:val="23"/>
                <w:rtl/>
              </w:rPr>
              <w:t>דעתיה</w:t>
            </w:r>
            <w:proofErr w:type="spellEnd"/>
            <w:r w:rsidRPr="00D91886">
              <w:rPr>
                <w:rFonts w:ascii="David" w:hAnsi="David" w:cs="David"/>
                <w:sz w:val="23"/>
                <w:szCs w:val="23"/>
                <w:rtl/>
              </w:rPr>
              <w:t xml:space="preserve">, אמר: </w:t>
            </w:r>
            <w:proofErr w:type="spellStart"/>
            <w:r w:rsidRPr="00D91886">
              <w:rPr>
                <w:rFonts w:ascii="David" w:hAnsi="David" w:cs="David"/>
                <w:sz w:val="23"/>
                <w:szCs w:val="23"/>
                <w:rtl/>
              </w:rPr>
              <w:t>רבונו</w:t>
            </w:r>
            <w:proofErr w:type="spellEnd"/>
            <w:r w:rsidRPr="00D91886">
              <w:rPr>
                <w:rFonts w:ascii="David" w:hAnsi="David" w:cs="David"/>
                <w:sz w:val="23"/>
                <w:szCs w:val="23"/>
                <w:rtl/>
              </w:rPr>
              <w:t xml:space="preserve"> של עולם לא פלפלתי תורה כמותו? </w:t>
            </w:r>
            <w:proofErr w:type="spellStart"/>
            <w:r w:rsidRPr="00D91886">
              <w:rPr>
                <w:rFonts w:ascii="David" w:hAnsi="David" w:cs="David"/>
                <w:sz w:val="23"/>
                <w:szCs w:val="23"/>
                <w:rtl/>
              </w:rPr>
              <w:t>יצתה</w:t>
            </w:r>
            <w:proofErr w:type="spellEnd"/>
            <w:r w:rsidRPr="00D91886">
              <w:rPr>
                <w:rFonts w:ascii="David" w:hAnsi="David" w:cs="David"/>
                <w:sz w:val="23"/>
                <w:szCs w:val="23"/>
                <w:rtl/>
              </w:rPr>
              <w:t xml:space="preserve"> בת קול ואמרה לו: תורה כמותו פלפלת, תורה כמותו לא </w:t>
            </w:r>
            <w:proofErr w:type="spellStart"/>
            <w:r w:rsidRPr="00D91886">
              <w:rPr>
                <w:rFonts w:ascii="David" w:hAnsi="David" w:cs="David"/>
                <w:sz w:val="23"/>
                <w:szCs w:val="23"/>
                <w:rtl/>
              </w:rPr>
              <w:t>ריבצת</w:t>
            </w:r>
            <w:proofErr w:type="spellEnd"/>
            <w:r w:rsidRPr="00D91886">
              <w:rPr>
                <w:rFonts w:ascii="David" w:hAnsi="David" w:cs="David"/>
                <w:sz w:val="23"/>
                <w:szCs w:val="23"/>
                <w:rtl/>
              </w:rPr>
              <w:t xml:space="preserve"> (לא הפצת תורה כמו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כי הוו </w:t>
            </w:r>
            <w:proofErr w:type="spellStart"/>
            <w:r w:rsidRPr="00D91886">
              <w:rPr>
                <w:rFonts w:ascii="David" w:hAnsi="David" w:cs="David"/>
                <w:sz w:val="23"/>
                <w:szCs w:val="23"/>
                <w:rtl/>
              </w:rPr>
              <w:t>מינצו</w:t>
            </w:r>
            <w:proofErr w:type="spellEnd"/>
            <w:r w:rsidRPr="00D91886">
              <w:rPr>
                <w:rFonts w:ascii="David" w:hAnsi="David" w:cs="David"/>
                <w:sz w:val="23"/>
                <w:szCs w:val="23"/>
                <w:rtl/>
              </w:rPr>
              <w:t xml:space="preserve"> רבי </w:t>
            </w:r>
            <w:proofErr w:type="spellStart"/>
            <w:r w:rsidRPr="00D91886">
              <w:rPr>
                <w:rFonts w:ascii="David" w:hAnsi="David" w:cs="David"/>
                <w:sz w:val="23"/>
                <w:szCs w:val="23"/>
                <w:rtl/>
              </w:rPr>
              <w:t>חנינא</w:t>
            </w:r>
            <w:proofErr w:type="spellEnd"/>
            <w:r w:rsidRPr="00D91886">
              <w:rPr>
                <w:rFonts w:ascii="David" w:hAnsi="David" w:cs="David"/>
                <w:sz w:val="23"/>
                <w:szCs w:val="23"/>
                <w:rtl/>
              </w:rPr>
              <w:t xml:space="preserve"> ורבי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אמר ליה רבי </w:t>
            </w:r>
            <w:proofErr w:type="spellStart"/>
            <w:r w:rsidRPr="00D91886">
              <w:rPr>
                <w:rFonts w:ascii="David" w:hAnsi="David" w:cs="David"/>
                <w:sz w:val="23"/>
                <w:szCs w:val="23"/>
                <w:rtl/>
              </w:rPr>
              <w:t>חנינא</w:t>
            </w:r>
            <w:proofErr w:type="spellEnd"/>
            <w:r w:rsidRPr="00D91886">
              <w:rPr>
                <w:rFonts w:ascii="David" w:hAnsi="David" w:cs="David"/>
                <w:sz w:val="23"/>
                <w:szCs w:val="23"/>
                <w:rtl/>
              </w:rPr>
              <w:t xml:space="preserve"> לרבי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בהדי דידי </w:t>
            </w:r>
            <w:proofErr w:type="spellStart"/>
            <w:r w:rsidRPr="00D91886">
              <w:rPr>
                <w:rFonts w:ascii="David" w:hAnsi="David" w:cs="David"/>
                <w:sz w:val="23"/>
                <w:szCs w:val="23"/>
                <w:rtl/>
              </w:rPr>
              <w:t>קא</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מינצית</w:t>
            </w:r>
            <w:proofErr w:type="spellEnd"/>
            <w:r w:rsidRPr="00D91886">
              <w:rPr>
                <w:rFonts w:ascii="David" w:hAnsi="David" w:cs="David"/>
                <w:sz w:val="23"/>
                <w:szCs w:val="23"/>
                <w:rtl/>
              </w:rPr>
              <w:t xml:space="preserve">? חס ושלום, אי </w:t>
            </w:r>
            <w:proofErr w:type="spellStart"/>
            <w:r w:rsidRPr="00D91886">
              <w:rPr>
                <w:rFonts w:ascii="David" w:hAnsi="David" w:cs="David"/>
                <w:sz w:val="23"/>
                <w:szCs w:val="23"/>
                <w:rtl/>
              </w:rPr>
              <w:t>משתכחא</w:t>
            </w:r>
            <w:proofErr w:type="spellEnd"/>
            <w:r w:rsidRPr="00D91886">
              <w:rPr>
                <w:rFonts w:ascii="David" w:hAnsi="David" w:cs="David"/>
                <w:sz w:val="23"/>
                <w:szCs w:val="23"/>
                <w:rtl/>
              </w:rPr>
              <w:t xml:space="preserve"> תורה מישראל </w:t>
            </w:r>
            <w:proofErr w:type="spellStart"/>
            <w:r w:rsidRPr="00D91886">
              <w:rPr>
                <w:rFonts w:ascii="David" w:hAnsi="David" w:cs="David"/>
                <w:sz w:val="23"/>
                <w:szCs w:val="23"/>
                <w:rtl/>
              </w:rPr>
              <w:t>מהדרנא</w:t>
            </w:r>
            <w:proofErr w:type="spellEnd"/>
            <w:r w:rsidRPr="00D91886">
              <w:rPr>
                <w:rFonts w:ascii="David" w:hAnsi="David" w:cs="David"/>
                <w:sz w:val="23"/>
                <w:szCs w:val="23"/>
                <w:rtl/>
              </w:rPr>
              <w:t xml:space="preserve"> לה </w:t>
            </w:r>
            <w:proofErr w:type="spellStart"/>
            <w:r w:rsidRPr="00D91886">
              <w:rPr>
                <w:rFonts w:ascii="David" w:hAnsi="David" w:cs="David"/>
                <w:sz w:val="23"/>
                <w:szCs w:val="23"/>
                <w:rtl/>
              </w:rPr>
              <w:t>מפילפולי</w:t>
            </w:r>
            <w:proofErr w:type="spellEnd"/>
            <w:r w:rsidRPr="00D91886">
              <w:rPr>
                <w:rFonts w:ascii="David" w:hAnsi="David" w:cs="David"/>
                <w:sz w:val="23"/>
                <w:szCs w:val="23"/>
                <w:rtl/>
              </w:rPr>
              <w:t xml:space="preserve">! - אמר ליה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לרבי </w:t>
            </w:r>
            <w:proofErr w:type="spellStart"/>
            <w:r w:rsidRPr="00D91886">
              <w:rPr>
                <w:rFonts w:ascii="David" w:hAnsi="David" w:cs="David"/>
                <w:sz w:val="23"/>
                <w:szCs w:val="23"/>
                <w:rtl/>
              </w:rPr>
              <w:t>חנינא</w:t>
            </w:r>
            <w:proofErr w:type="spellEnd"/>
            <w:r w:rsidRPr="00D91886">
              <w:rPr>
                <w:rFonts w:ascii="David" w:hAnsi="David" w:cs="David"/>
                <w:sz w:val="23"/>
                <w:szCs w:val="23"/>
                <w:rtl/>
              </w:rPr>
              <w:t xml:space="preserve">: בהדי דידי </w:t>
            </w:r>
            <w:proofErr w:type="spellStart"/>
            <w:r w:rsidRPr="00D91886">
              <w:rPr>
                <w:rFonts w:ascii="David" w:hAnsi="David" w:cs="David"/>
                <w:sz w:val="23"/>
                <w:szCs w:val="23"/>
                <w:rtl/>
              </w:rPr>
              <w:t>קא</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מינצית</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דעבדי</w:t>
            </w:r>
            <w:proofErr w:type="spellEnd"/>
            <w:r w:rsidRPr="00D91886">
              <w:rPr>
                <w:rFonts w:ascii="David" w:hAnsi="David" w:cs="David"/>
                <w:sz w:val="23"/>
                <w:szCs w:val="23"/>
                <w:rtl/>
              </w:rPr>
              <w:t xml:space="preserve"> לתורה דלא תשתכח מישראל?...אמר ליה: חס ושלום, לא תהא כזאת בישראל (יום אחד היה ויכוח בבית המדרש בין רבי </w:t>
            </w:r>
            <w:proofErr w:type="spellStart"/>
            <w:r w:rsidRPr="00D91886">
              <w:rPr>
                <w:rFonts w:ascii="David" w:hAnsi="David" w:cs="David"/>
                <w:sz w:val="23"/>
                <w:szCs w:val="23"/>
                <w:rtl/>
              </w:rPr>
              <w:t>חנינא</w:t>
            </w:r>
            <w:proofErr w:type="spellEnd"/>
            <w:r w:rsidRPr="00D91886">
              <w:rPr>
                <w:rFonts w:ascii="David" w:hAnsi="David" w:cs="David"/>
                <w:sz w:val="23"/>
                <w:szCs w:val="23"/>
                <w:rtl/>
              </w:rPr>
              <w:t xml:space="preserve"> לרבי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הויכוח</w:t>
            </w:r>
            <w:proofErr w:type="spellEnd"/>
            <w:r w:rsidRPr="00D91886">
              <w:rPr>
                <w:rFonts w:ascii="David" w:hAnsi="David" w:cs="David"/>
                <w:sz w:val="23"/>
                <w:szCs w:val="23"/>
                <w:rtl/>
              </w:rPr>
              <w:t xml:space="preserve"> היה על השאלה איך מבטיחים שלא תשתכח תורה מישראל)". לפי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יש להרבות בתלמידים, כל אחד חייב להיות קשור יום יום (לאו דווקא כל היום) ללימוד תורה. ממשיכה הגמרא ומספרת לנו מה קרה בין רבי יהודה הנשיא לבין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"אליהו </w:t>
            </w:r>
            <w:proofErr w:type="spellStart"/>
            <w:r w:rsidRPr="00D91886">
              <w:rPr>
                <w:rFonts w:ascii="David" w:hAnsi="David" w:cs="David"/>
                <w:sz w:val="23"/>
                <w:szCs w:val="23"/>
                <w:rtl/>
              </w:rPr>
              <w:t>הוה</w:t>
            </w:r>
            <w:proofErr w:type="spellEnd"/>
            <w:r w:rsidRPr="00D91886">
              <w:rPr>
                <w:rFonts w:ascii="David" w:hAnsi="David" w:cs="David"/>
                <w:sz w:val="23"/>
                <w:szCs w:val="23"/>
                <w:rtl/>
              </w:rPr>
              <w:t xml:space="preserve"> שכיח במתיבתא דרבי (יהודה הנשיא). יומא חד, ריש </w:t>
            </w:r>
            <w:proofErr w:type="spellStart"/>
            <w:r w:rsidRPr="00D91886">
              <w:rPr>
                <w:rFonts w:ascii="David" w:hAnsi="David" w:cs="David"/>
                <w:sz w:val="23"/>
                <w:szCs w:val="23"/>
                <w:rtl/>
              </w:rPr>
              <w:t>ירחא</w:t>
            </w:r>
            <w:proofErr w:type="spellEnd"/>
            <w:r w:rsidRPr="00D91886">
              <w:rPr>
                <w:rFonts w:ascii="David" w:hAnsi="David" w:cs="David"/>
                <w:sz w:val="23"/>
                <w:szCs w:val="23"/>
                <w:rtl/>
              </w:rPr>
              <w:t xml:space="preserve"> </w:t>
            </w:r>
            <w:proofErr w:type="spellStart"/>
            <w:r w:rsidRPr="00D91886">
              <w:rPr>
                <w:rFonts w:ascii="David" w:hAnsi="David" w:cs="David"/>
                <w:sz w:val="23"/>
                <w:szCs w:val="23"/>
                <w:rtl/>
              </w:rPr>
              <w:t>הוה</w:t>
            </w:r>
            <w:proofErr w:type="spellEnd"/>
            <w:r w:rsidRPr="00D91886">
              <w:rPr>
                <w:rFonts w:ascii="David" w:hAnsi="David" w:cs="David"/>
                <w:sz w:val="23"/>
                <w:szCs w:val="23"/>
                <w:rtl/>
              </w:rPr>
              <w:t xml:space="preserve">, נגה ליה ולא אתא (בראש חודש אחד איחר אליהו הנביא ולא הגיע בזמן לבית מדרשו של רבי). אמר ליה: מאי טעמא נגה ליה למר? - אמר ליה: </w:t>
            </w:r>
            <w:proofErr w:type="spellStart"/>
            <w:r w:rsidRPr="00D91886">
              <w:rPr>
                <w:rFonts w:ascii="David" w:hAnsi="David" w:cs="David"/>
                <w:sz w:val="23"/>
                <w:szCs w:val="23"/>
                <w:rtl/>
              </w:rPr>
              <w:t>אדאוקימנא</w:t>
            </w:r>
            <w:proofErr w:type="spellEnd"/>
            <w:r w:rsidRPr="00D91886">
              <w:rPr>
                <w:rFonts w:ascii="David" w:hAnsi="David" w:cs="David"/>
                <w:sz w:val="23"/>
                <w:szCs w:val="23"/>
                <w:rtl/>
              </w:rPr>
              <w:t xml:space="preserve"> לאברהם </w:t>
            </w:r>
            <w:proofErr w:type="spellStart"/>
            <w:r w:rsidRPr="00D91886">
              <w:rPr>
                <w:rFonts w:ascii="David" w:hAnsi="David" w:cs="David"/>
                <w:sz w:val="23"/>
                <w:szCs w:val="23"/>
                <w:rtl/>
              </w:rPr>
              <w:t>ומשינא</w:t>
            </w:r>
            <w:proofErr w:type="spellEnd"/>
            <w:r w:rsidRPr="00D91886">
              <w:rPr>
                <w:rFonts w:ascii="David" w:hAnsi="David" w:cs="David"/>
                <w:sz w:val="23"/>
                <w:szCs w:val="23"/>
                <w:rtl/>
              </w:rPr>
              <w:t xml:space="preserve"> ידיה ומצלי, </w:t>
            </w:r>
            <w:proofErr w:type="spellStart"/>
            <w:r w:rsidRPr="00D91886">
              <w:rPr>
                <w:rFonts w:ascii="David" w:hAnsi="David" w:cs="David"/>
                <w:sz w:val="23"/>
                <w:szCs w:val="23"/>
                <w:rtl/>
              </w:rPr>
              <w:t>ומגנינא</w:t>
            </w:r>
            <w:proofErr w:type="spellEnd"/>
            <w:r w:rsidRPr="00D91886">
              <w:rPr>
                <w:rFonts w:ascii="David" w:hAnsi="David" w:cs="David"/>
                <w:sz w:val="23"/>
                <w:szCs w:val="23"/>
                <w:rtl/>
              </w:rPr>
              <w:t xml:space="preserve"> ליה. וכן ליצחק, וכן ליעקב. – (ענה לו אליהו שהוא היה עסוק בטיפול באבות) ויש דוגמתן בעולם הזה? (שאל רבי את אליהו הנביא, האם יש בעולם בדורי, אנשים ברמה של שלשת האבות) - אמר ליה: איכא, </w:t>
            </w:r>
            <w:r w:rsidRPr="00D91886">
              <w:rPr>
                <w:rFonts w:ascii="David" w:hAnsi="David" w:cs="David"/>
                <w:b/>
                <w:bCs/>
                <w:sz w:val="23"/>
                <w:szCs w:val="23"/>
                <w:rtl/>
              </w:rPr>
              <w:t xml:space="preserve">רבי </w:t>
            </w:r>
            <w:proofErr w:type="spellStart"/>
            <w:r w:rsidRPr="00D91886">
              <w:rPr>
                <w:rFonts w:ascii="David" w:hAnsi="David" w:cs="David"/>
                <w:b/>
                <w:bCs/>
                <w:sz w:val="23"/>
                <w:szCs w:val="23"/>
                <w:rtl/>
              </w:rPr>
              <w:t>חייא</w:t>
            </w:r>
            <w:proofErr w:type="spellEnd"/>
            <w:r w:rsidRPr="00D91886">
              <w:rPr>
                <w:rFonts w:ascii="David" w:hAnsi="David" w:cs="David"/>
                <w:b/>
                <w:bCs/>
                <w:sz w:val="23"/>
                <w:szCs w:val="23"/>
                <w:rtl/>
              </w:rPr>
              <w:t xml:space="preserve"> ובניו</w:t>
            </w:r>
            <w:r w:rsidRPr="00D91886">
              <w:rPr>
                <w:rFonts w:ascii="David" w:hAnsi="David" w:cs="David"/>
                <w:sz w:val="23"/>
                <w:szCs w:val="23"/>
                <w:rtl/>
              </w:rPr>
              <w:t xml:space="preserve"> (ענה לו אליהו, כן יש והם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w:t>
            </w:r>
          </w:p>
          <w:p w14:paraId="00B42720" w14:textId="77777777" w:rsidR="00D91886" w:rsidRPr="00D91886" w:rsidRDefault="00D91886" w:rsidP="00D91886">
            <w:pPr>
              <w:ind w:left="28"/>
              <w:rPr>
                <w:rFonts w:ascii="David" w:hAnsi="David" w:cs="David"/>
                <w:sz w:val="23"/>
                <w:szCs w:val="23"/>
                <w:rtl/>
              </w:rPr>
            </w:pPr>
            <w:r w:rsidRPr="00D91886">
              <w:rPr>
                <w:rFonts w:ascii="David" w:hAnsi="David" w:cs="David"/>
                <w:sz w:val="23"/>
                <w:szCs w:val="23"/>
                <w:rtl/>
              </w:rPr>
              <w:t xml:space="preserve">גם מגמרא זו אנו יכולים להבין את גודל מעלתם הרוחנית של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מול הפלפולים והעמקה של רבי </w:t>
            </w:r>
            <w:proofErr w:type="spellStart"/>
            <w:r w:rsidRPr="00D91886">
              <w:rPr>
                <w:rFonts w:ascii="David" w:hAnsi="David" w:cs="David"/>
                <w:sz w:val="23"/>
                <w:szCs w:val="23"/>
                <w:rtl/>
              </w:rPr>
              <w:t>חנניא</w:t>
            </w:r>
            <w:proofErr w:type="spellEnd"/>
            <w:r w:rsidRPr="00D91886">
              <w:rPr>
                <w:rFonts w:ascii="David" w:hAnsi="David" w:cs="David"/>
                <w:sz w:val="23"/>
                <w:szCs w:val="23"/>
                <w:rtl/>
              </w:rPr>
              <w:t xml:space="preserve"> ושיטתו של רבי, עומדת שיטתם של 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 משפחה זו טענה שיש להרבות יהודים שקשורים ללימוד תורה, ברמה של קביעות עתים לתורה מדי יום, גם אם אין הם מגיעים לרמת הפלפול וההעמקה של רבי יהודה הנשיא או רבי </w:t>
            </w:r>
            <w:proofErr w:type="spellStart"/>
            <w:r w:rsidRPr="00D91886">
              <w:rPr>
                <w:rFonts w:ascii="David" w:hAnsi="David" w:cs="David"/>
                <w:sz w:val="23"/>
                <w:szCs w:val="23"/>
                <w:rtl/>
              </w:rPr>
              <w:t>חנינא</w:t>
            </w:r>
            <w:proofErr w:type="spellEnd"/>
            <w:r w:rsidRPr="00D91886">
              <w:rPr>
                <w:rFonts w:ascii="David" w:hAnsi="David" w:cs="David"/>
                <w:sz w:val="23"/>
                <w:szCs w:val="23"/>
                <w:rtl/>
              </w:rPr>
              <w:t xml:space="preserve">. יהודים אלה יחיו חיים יהודיים שלמים שהתורה היא מרכז חייהם. אין זה קשור כלל וכלל להפיכת התורה לקרדום לחפור בה שמשמעותה היא ההתחמקות מהאחריות לפרנס את משפחותיהם או להגן על עמם. רק יחידי סגולה מיוחדים יכולים להגיע לרמות הגבוהות ביותר של העמקה בתורה, ויש לאפשר ליחידים אלה להגיע לאותן רמות. הם יצאו </w:t>
            </w:r>
            <w:r w:rsidRPr="00D91886">
              <w:rPr>
                <w:rFonts w:ascii="FrankRuehl" w:hAnsi="FrankRuehl" w:cs="FrankRuehl"/>
                <w:rtl/>
              </w:rPr>
              <w:t>לְלַמֵּד</w:t>
            </w:r>
            <w:r w:rsidRPr="00D91886">
              <w:rPr>
                <w:rFonts w:ascii="David" w:hAnsi="David" w:cs="David"/>
                <w:sz w:val="23"/>
                <w:szCs w:val="23"/>
                <w:rtl/>
              </w:rPr>
              <w:t xml:space="preserve"> עם סיום לימודיהם ובשעת הצורך (שלא תהיה, בע"ה) יצאו להגנת עם ישראל מיד צר הבא עליהם, למלחמת מצווה. בספרי הבא 'צפנת שמואל' – 'מלכות דוד' (שיעלה על המדף בקרוב מאוד, בע"ה) נדון באריכות בהיבטים נוספים של מחלוקת רבי יהודה הנשיא ורבי </w:t>
            </w:r>
            <w:proofErr w:type="spellStart"/>
            <w:r w:rsidRPr="00D91886">
              <w:rPr>
                <w:rFonts w:ascii="David" w:hAnsi="David" w:cs="David"/>
                <w:sz w:val="23"/>
                <w:szCs w:val="23"/>
                <w:rtl/>
              </w:rPr>
              <w:t>חייא</w:t>
            </w:r>
            <w:proofErr w:type="spellEnd"/>
            <w:r w:rsidRPr="00D91886">
              <w:rPr>
                <w:rFonts w:ascii="David" w:hAnsi="David" w:cs="David"/>
                <w:sz w:val="23"/>
                <w:szCs w:val="23"/>
                <w:rtl/>
              </w:rPr>
              <w:t xml:space="preserve"> ובניו).</w:t>
            </w:r>
          </w:p>
          <w:p w14:paraId="1A4DB6B1" w14:textId="77777777" w:rsidR="00D91886" w:rsidRPr="00D91886" w:rsidRDefault="00D91886" w:rsidP="00D91886">
            <w:pPr>
              <w:ind w:left="28"/>
              <w:rPr>
                <w:rFonts w:ascii="David" w:hAnsi="David" w:cs="David"/>
                <w:sz w:val="12"/>
                <w:szCs w:val="12"/>
                <w:rtl/>
              </w:rPr>
            </w:pPr>
          </w:p>
          <w:p w14:paraId="71204073" w14:textId="77777777" w:rsidR="00D91886" w:rsidRDefault="00D91886" w:rsidP="00D91886">
            <w:pPr>
              <w:ind w:left="28"/>
              <w:jc w:val="center"/>
              <w:rPr>
                <w:rFonts w:ascii="David" w:hAnsi="David" w:cs="David"/>
                <w:sz w:val="23"/>
                <w:szCs w:val="23"/>
                <w:rtl/>
              </w:rPr>
            </w:pPr>
            <w:r w:rsidRPr="00D91886">
              <w:rPr>
                <w:rFonts w:ascii="David" w:hAnsi="David" w:cs="David"/>
                <w:sz w:val="23"/>
                <w:szCs w:val="23"/>
                <w:rtl/>
              </w:rPr>
              <w:t xml:space="preserve">נאחל רפואה שלימה, בתוך שאר חולי עם ישראל לפצועים, חזרה הביתה בקרוב בבריאות לחטופים ולעקורים, </w:t>
            </w:r>
          </w:p>
          <w:p w14:paraId="32666365" w14:textId="30456429" w:rsidR="00D91886" w:rsidRPr="00D91886" w:rsidRDefault="00D91886" w:rsidP="00D91886">
            <w:pPr>
              <w:ind w:left="28"/>
              <w:jc w:val="center"/>
              <w:rPr>
                <w:rFonts w:ascii="FrankRuehl" w:hAnsi="FrankRuehl" w:cs="FrankRuehl"/>
                <w:rtl/>
              </w:rPr>
            </w:pPr>
            <w:r w:rsidRPr="00D91886">
              <w:rPr>
                <w:rFonts w:ascii="David" w:hAnsi="David" w:cs="David"/>
                <w:sz w:val="23"/>
                <w:szCs w:val="23"/>
                <w:rtl/>
              </w:rPr>
              <w:t>ונחמה למשפחות הגיבורים שנתנו את היקר מכל להגנת העם והארץ והבטחת עתידו</w:t>
            </w:r>
            <w:r w:rsidRPr="00D91886">
              <w:rPr>
                <w:rFonts w:ascii="FrankRuehl" w:hAnsi="FrankRuehl" w:cs="FrankRuehl" w:hint="cs"/>
                <w:rtl/>
              </w:rPr>
              <w:t>.</w:t>
            </w:r>
          </w:p>
          <w:p w14:paraId="6A30E97C" w14:textId="77777777" w:rsidR="00B70EBE" w:rsidRPr="00C5799F" w:rsidRDefault="00B70EBE" w:rsidP="00B70EBE">
            <w:pPr>
              <w:jc w:val="center"/>
              <w:rPr>
                <w:rFonts w:ascii="David" w:hAnsi="David" w:cs="David"/>
                <w:sz w:val="12"/>
                <w:szCs w:val="12"/>
              </w:rPr>
            </w:pPr>
          </w:p>
          <w:p w14:paraId="4F52D5CF" w14:textId="0AED2E31" w:rsidR="00F9580A" w:rsidRDefault="001969F8" w:rsidP="00B70EBE">
            <w:pPr>
              <w:jc w:val="center"/>
              <w:rPr>
                <w:rFonts w:ascii="David" w:hAnsi="David" w:cs="David"/>
                <w:color w:val="1F497D"/>
                <w:sz w:val="22"/>
                <w:szCs w:val="22"/>
              </w:rPr>
            </w:pPr>
            <w:r w:rsidRPr="007B4150">
              <w:rPr>
                <w:rFonts w:ascii="David" w:hAnsi="David" w:cs="David"/>
                <w:noProof/>
                <w:color w:val="0000FF"/>
                <w:sz w:val="22"/>
                <w:szCs w:val="22"/>
                <w:rtl/>
              </w:rPr>
              <w:t>(</w:t>
            </w:r>
            <w:hyperlink r:id="rId11"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11ADB5C1" w14:textId="77777777" w:rsidR="0035542D" w:rsidRPr="00AF2B2E" w:rsidRDefault="0035542D" w:rsidP="0035542D">
            <w:pPr>
              <w:jc w:val="center"/>
              <w:rPr>
                <w:rFonts w:ascii="David" w:hAnsi="David" w:cs="David"/>
                <w:color w:val="1F497D"/>
                <w:sz w:val="10"/>
                <w:szCs w:val="10"/>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1961"/>
              <w:gridCol w:w="15"/>
              <w:gridCol w:w="133"/>
              <w:gridCol w:w="142"/>
              <w:gridCol w:w="709"/>
              <w:gridCol w:w="702"/>
              <w:gridCol w:w="15"/>
              <w:gridCol w:w="129"/>
              <w:gridCol w:w="146"/>
              <w:gridCol w:w="425"/>
              <w:gridCol w:w="709"/>
              <w:gridCol w:w="277"/>
              <w:gridCol w:w="7"/>
              <w:gridCol w:w="149"/>
              <w:gridCol w:w="1560"/>
              <w:gridCol w:w="126"/>
              <w:gridCol w:w="575"/>
              <w:gridCol w:w="283"/>
              <w:gridCol w:w="140"/>
              <w:gridCol w:w="577"/>
              <w:gridCol w:w="126"/>
              <w:gridCol w:w="2137"/>
            </w:tblGrid>
            <w:tr w:rsidR="001969F8" w:rsidRPr="00451315" w14:paraId="140C2209" w14:textId="77777777" w:rsidTr="0035542D">
              <w:trPr>
                <w:trHeight w:val="273"/>
              </w:trPr>
              <w:tc>
                <w:tcPr>
                  <w:tcW w:w="3806"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1" w:name="_Hlk172809546"/>
                  <w:r w:rsidRPr="00451315">
                    <w:rPr>
                      <w:rFonts w:ascii="David" w:eastAsia="Calibri" w:hAnsi="David" w:cs="Guttman Stam" w:hint="cs"/>
                      <w:b/>
                      <w:bCs/>
                      <w:color w:val="0070C0"/>
                      <w:sz w:val="30"/>
                      <w:szCs w:val="30"/>
                      <w:rtl/>
                    </w:rPr>
                    <w:t>ל ע י ל ו י   נ ש מ ת</w:t>
                  </w:r>
                </w:p>
              </w:tc>
              <w:tc>
                <w:tcPr>
                  <w:tcW w:w="7237" w:type="dxa"/>
                  <w:gridSpan w:val="14"/>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35542D">
              <w:trPr>
                <w:trHeight w:val="273"/>
              </w:trPr>
              <w:tc>
                <w:tcPr>
                  <w:tcW w:w="1961" w:type="dxa"/>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701"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4"/>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5"/>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7"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35542D">
              <w:trPr>
                <w:trHeight w:val="427"/>
              </w:trPr>
              <w:tc>
                <w:tcPr>
                  <w:tcW w:w="2251"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3" w:type="dxa"/>
                  <w:gridSpan w:val="5"/>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35542D">
              <w:trPr>
                <w:trHeight w:val="431"/>
              </w:trPr>
              <w:tc>
                <w:tcPr>
                  <w:tcW w:w="2109"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4"/>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3" w:type="dxa"/>
                  <w:gridSpan w:val="6"/>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3"/>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35542D">
              <w:trPr>
                <w:trHeight w:val="453"/>
              </w:trPr>
              <w:tc>
                <w:tcPr>
                  <w:tcW w:w="2960" w:type="dxa"/>
                  <w:gridSpan w:val="5"/>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0" w:type="dxa"/>
                  <w:gridSpan w:val="4"/>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2"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2"/>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35542D">
              <w:trPr>
                <w:trHeight w:val="503"/>
              </w:trPr>
              <w:tc>
                <w:tcPr>
                  <w:tcW w:w="1976" w:type="dxa"/>
                  <w:gridSpan w:val="2"/>
                  <w:vAlign w:val="center"/>
                </w:tcPr>
                <w:p w14:paraId="42D0AB56" w14:textId="74FD2AA3" w:rsidR="00C72A08" w:rsidRPr="00C72A08" w:rsidRDefault="00C72A08" w:rsidP="0035542D">
                  <w:pPr>
                    <w:jc w:val="center"/>
                    <w:rPr>
                      <w:rFonts w:cs="David"/>
                      <w:noProof/>
                      <w:sz w:val="19"/>
                      <w:szCs w:val="19"/>
                      <w:lang w:eastAsia="he-IL"/>
                    </w:rPr>
                  </w:pPr>
                  <w:r w:rsidRPr="00C72A08">
                    <w:rPr>
                      <w:rFonts w:ascii="David" w:eastAsia="Calibri" w:hAnsi="David" w:cs="David" w:hint="cs"/>
                      <w:b/>
                      <w:bCs/>
                      <w:color w:val="002060"/>
                      <w:sz w:val="19"/>
                      <w:szCs w:val="19"/>
                      <w:rtl/>
                    </w:rPr>
                    <w:t xml:space="preserve">תמר </w:t>
                  </w:r>
                  <w:proofErr w:type="spellStart"/>
                  <w:r w:rsidRPr="00C72A08">
                    <w:rPr>
                      <w:rFonts w:ascii="David" w:eastAsia="Calibri" w:hAnsi="David" w:cs="David" w:hint="cs"/>
                      <w:b/>
                      <w:bCs/>
                      <w:color w:val="002060"/>
                      <w:sz w:val="19"/>
                      <w:szCs w:val="19"/>
                      <w:rtl/>
                    </w:rPr>
                    <w:t>ליכטנשטט</w:t>
                  </w:r>
                  <w:proofErr w:type="spellEnd"/>
                  <w:r w:rsidRPr="00C72A08">
                    <w:rPr>
                      <w:rFonts w:cs="David" w:hint="cs"/>
                      <w:b/>
                      <w:bCs/>
                      <w:noProof/>
                      <w:sz w:val="19"/>
                      <w:szCs w:val="19"/>
                      <w:rtl/>
                      <w:lang w:eastAsia="he-IL"/>
                    </w:rPr>
                    <w:t xml:space="preserve"> </w:t>
                  </w:r>
                  <w:r w:rsidR="008F3E5E">
                    <w:rPr>
                      <w:rFonts w:cs="David" w:hint="cs"/>
                      <w:noProof/>
                      <w:sz w:val="19"/>
                      <w:szCs w:val="19"/>
                      <w:rtl/>
                      <w:lang w:eastAsia="he-IL"/>
                    </w:rPr>
                    <w:t>ע"ה</w:t>
                  </w:r>
                </w:p>
                <w:p w14:paraId="77B3F93D" w14:textId="1178A7D3"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כ"ז בחשון </w:t>
                  </w:r>
                  <w:r w:rsidR="00616A6F">
                    <w:rPr>
                      <w:rFonts w:cs="David" w:hint="cs"/>
                      <w:noProof/>
                      <w:sz w:val="19"/>
                      <w:szCs w:val="19"/>
                      <w:rtl/>
                      <w:lang w:eastAsia="he-IL"/>
                    </w:rPr>
                    <w:t>תשס"ז</w:t>
                  </w:r>
                  <w:r>
                    <w:rPr>
                      <w:rFonts w:cs="David" w:hint="cs"/>
                      <w:noProof/>
                      <w:sz w:val="19"/>
                      <w:szCs w:val="19"/>
                      <w:rtl/>
                      <w:lang w:eastAsia="he-IL"/>
                    </w:rPr>
                    <w:t xml:space="preserve"> </w:t>
                  </w:r>
                </w:p>
              </w:tc>
              <w:tc>
                <w:tcPr>
                  <w:tcW w:w="1701" w:type="dxa"/>
                  <w:gridSpan w:val="5"/>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1842" w:type="dxa"/>
                  <w:gridSpan w:val="7"/>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1560" w:type="dxa"/>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701" w:type="dxa"/>
                  <w:gridSpan w:val="5"/>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263"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1"/>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0CD133E7">
            <wp:simplePos x="0" y="0"/>
            <wp:positionH relativeFrom="page">
              <wp:posOffset>0</wp:posOffset>
            </wp:positionH>
            <wp:positionV relativeFrom="paragraph">
              <wp:posOffset>7157349</wp:posOffset>
            </wp:positionV>
            <wp:extent cx="7553325" cy="21566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3325" cy="21566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C55962" w:rsidRDefault="00C55962" w:rsidP="00F52A2A">
      <w:pPr>
        <w:contextualSpacing/>
        <w:jc w:val="center"/>
        <w:rPr>
          <w:rFonts w:ascii="Arial" w:eastAsia="Calibri" w:hAnsi="Arial" w:cs="Arial"/>
          <w:b/>
          <w:bCs/>
          <w:color w:val="C00000"/>
          <w:sz w:val="10"/>
          <w:szCs w:val="10"/>
          <w:rtl/>
        </w:rPr>
      </w:pPr>
    </w:p>
    <w:p w14:paraId="2E94EE8C" w14:textId="6A643F6F"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6EFDDCEE" w:rsidR="007E6A8A" w:rsidRDefault="00D04223" w:rsidP="00EE4D48">
      <w:pPr>
        <w:bidi w:val="0"/>
        <w:jc w:val="center"/>
        <w:rPr>
          <w:rFonts w:ascii="FrankRuehl" w:eastAsia="Calibri" w:hAnsi="FrankRuehl" w:cs="FrankRuehl"/>
          <w:color w:val="0070C0"/>
          <w:sz w:val="16"/>
          <w:szCs w:val="16"/>
          <w:u w:val="single"/>
        </w:rPr>
      </w:pPr>
      <w:hyperlink r:id="rId13"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4" w:history="1">
        <w:r w:rsidR="007E4421" w:rsidRPr="00F52A2A">
          <w:rPr>
            <w:rFonts w:ascii="FrankRuehl" w:eastAsia="Calibri" w:hAnsi="FrankRuehl" w:cs="FrankRuehl"/>
            <w:color w:val="0070C0"/>
            <w:sz w:val="16"/>
            <w:szCs w:val="16"/>
            <w:u w:val="single"/>
          </w:rPr>
          <w:t>WWW.ERETZHEMDAH.ORG</w:t>
        </w:r>
      </w:hyperlink>
    </w:p>
    <w:p w14:paraId="682C5262" w14:textId="77777777" w:rsidR="003B0E7D" w:rsidRDefault="003B0E7D" w:rsidP="003B0E7D">
      <w:pPr>
        <w:bidi w:val="0"/>
        <w:jc w:val="center"/>
        <w:rPr>
          <w:rFonts w:ascii="FrankRuehl" w:eastAsia="Calibri" w:hAnsi="FrankRuehl" w:cs="FrankRuehl"/>
          <w:color w:val="0070C0"/>
          <w:sz w:val="16"/>
          <w:szCs w:val="16"/>
          <w:u w:val="single"/>
        </w:rPr>
      </w:pPr>
    </w:p>
    <w:p w14:paraId="755D90E6" w14:textId="706B8724" w:rsidR="003B0E7D" w:rsidRDefault="003B0E7D" w:rsidP="003B0E7D">
      <w:pPr>
        <w:bidi w:val="0"/>
        <w:jc w:val="center"/>
        <w:rPr>
          <w:rFonts w:ascii="FrankRuehl" w:eastAsia="Calibri" w:hAnsi="FrankRuehl" w:cs="FrankRuehl"/>
          <w:color w:val="0070C0"/>
          <w:sz w:val="16"/>
          <w:szCs w:val="16"/>
          <w:u w:val="single"/>
          <w:rtl/>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4CAA2FF8">
            <wp:simplePos x="0" y="0"/>
            <wp:positionH relativeFrom="margin">
              <wp:posOffset>4160520</wp:posOffset>
            </wp:positionH>
            <wp:positionV relativeFrom="paragraph">
              <wp:posOffset>-215636</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E0A354" w14:textId="3799F2D7" w:rsidR="003B0E7D" w:rsidRDefault="003B0E7D" w:rsidP="003B0E7D">
      <w:pPr>
        <w:bidi w:val="0"/>
        <w:jc w:val="center"/>
        <w:rPr>
          <w:rFonts w:ascii="FrankRuehl" w:eastAsia="Calibri" w:hAnsi="FrankRuehl" w:cs="FrankRuehl"/>
          <w:color w:val="0070C0"/>
          <w:sz w:val="16"/>
          <w:szCs w:val="16"/>
          <w:u w:val="single"/>
          <w:rtl/>
        </w:rPr>
      </w:pPr>
    </w:p>
    <w:p w14:paraId="5495EEEF" w14:textId="0DCAE73F" w:rsidR="003B0E7D" w:rsidRDefault="003B0E7D" w:rsidP="003B0E7D">
      <w:pPr>
        <w:bidi w:val="0"/>
        <w:jc w:val="center"/>
        <w:rPr>
          <w:rFonts w:ascii="FrankRuehl" w:eastAsia="Calibri" w:hAnsi="FrankRuehl" w:cs="FrankRuehl"/>
          <w:color w:val="0070C0"/>
          <w:sz w:val="16"/>
          <w:szCs w:val="16"/>
          <w:u w:val="single"/>
          <w:rtl/>
        </w:rPr>
      </w:pPr>
    </w:p>
    <w:p w14:paraId="6EB6A32C" w14:textId="447E2873" w:rsidR="003B0E7D" w:rsidRPr="004D7DB1" w:rsidRDefault="003B0E7D" w:rsidP="003B0E7D">
      <w:pPr>
        <w:bidi w:val="0"/>
        <w:jc w:val="center"/>
        <w:rPr>
          <w:rFonts w:ascii="FrankRuehl" w:eastAsia="Calibri" w:hAnsi="FrankRuehl" w:cs="FrankRuehl"/>
          <w:color w:val="0070C0"/>
          <w:u w:val="single"/>
        </w:rPr>
      </w:pPr>
    </w:p>
    <w:p w14:paraId="7A42E887" w14:textId="03BA1FBE" w:rsidR="003A385E" w:rsidRPr="00F9466E" w:rsidRDefault="003A385E" w:rsidP="003B0E7D">
      <w:pPr>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6CB0030C" w14:textId="77777777" w:rsidR="00173367" w:rsidRPr="004B5262" w:rsidRDefault="00173367" w:rsidP="00173367">
      <w:pPr>
        <w:contextualSpacing/>
        <w:rPr>
          <w:rFonts w:ascii="David" w:eastAsia="Calibri" w:hAnsi="David" w:cs="David"/>
          <w:sz w:val="12"/>
          <w:szCs w:val="12"/>
          <w:rtl/>
          <w:lang w:eastAsia="he-IL"/>
        </w:rPr>
      </w:pPr>
    </w:p>
    <w:p w14:paraId="000DF6ED" w14:textId="77777777" w:rsidR="00ED0BF6" w:rsidRPr="00ED0BF6" w:rsidRDefault="00ED0BF6" w:rsidP="00ED0BF6">
      <w:pPr>
        <w:keepNext/>
        <w:keepLines/>
        <w:contextualSpacing/>
        <w:outlineLvl w:val="0"/>
        <w:rPr>
          <w:rFonts w:ascii="David" w:hAnsi="David" w:cs="David"/>
          <w:b/>
          <w:bCs/>
          <w:color w:val="0070C0"/>
          <w:kern w:val="2"/>
          <w:sz w:val="32"/>
          <w:szCs w:val="32"/>
          <w:rtl/>
          <w14:ligatures w14:val="standardContextual"/>
        </w:rPr>
      </w:pPr>
      <w:r w:rsidRPr="00ED0BF6">
        <w:rPr>
          <w:rFonts w:ascii="David" w:hAnsi="David" w:cs="David" w:hint="cs"/>
          <w:b/>
          <w:bCs/>
          <w:color w:val="0070C0"/>
          <w:kern w:val="2"/>
          <w:sz w:val="32"/>
          <w:szCs w:val="32"/>
          <w:rtl/>
          <w14:ligatures w14:val="standardContextual"/>
        </w:rPr>
        <w:t>השבת תוכי לכלוב בשבת</w:t>
      </w:r>
    </w:p>
    <w:p w14:paraId="32C693A0" w14:textId="77777777" w:rsidR="00ED0BF6" w:rsidRPr="00ED0BF6" w:rsidRDefault="00ED0BF6" w:rsidP="00ED0BF6">
      <w:pPr>
        <w:contextualSpacing/>
        <w:rPr>
          <w:rFonts w:ascii="David" w:eastAsia="Calibri" w:hAnsi="David" w:cs="David"/>
          <w:rtl/>
        </w:rPr>
      </w:pPr>
    </w:p>
    <w:p w14:paraId="071A3D71"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פנה בחור שאומר שהוא מתלבט בדבר מסוים כבר זמן רב:</w:t>
      </w:r>
    </w:p>
    <w:p w14:paraId="14B3D0C6"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משפחתו מחזיקה תוכי. מדובר בעוף גדול, ידידותי למשפחה, אך פעמים שהוא מלחיץ אורחים. במשך היום הם נותנים לו לעוף בבית, אך בזמנים מסוימים הם צריכים להחזיר אותו לכלוב. הוא לא שש לחזור לכלוב, אך כאשר תופסים את רגליו הוא מיד נכנע ומקבל את הדין. בשבת בבוקר רגילים לשחרר אותו למרחבי הבית, אך לקראת הסעודה (בעיקר אם יש אורחים)</w:t>
      </w:r>
      <w:r w:rsidRPr="00ED0BF6">
        <w:rPr>
          <w:rFonts w:ascii="David" w:eastAsia="Calibri" w:hAnsi="David" w:cs="David" w:hint="cs"/>
        </w:rPr>
        <w:t xml:space="preserve"> </w:t>
      </w:r>
      <w:r w:rsidRPr="00ED0BF6">
        <w:rPr>
          <w:rFonts w:ascii="David" w:eastAsia="Calibri" w:hAnsi="David" w:cs="David" w:hint="cs"/>
          <w:rtl/>
        </w:rPr>
        <w:t>מוכרחים להשיב אותו לכלובו, אחרת הסעודה הופכת לתוהו ובוהו.</w:t>
      </w:r>
    </w:p>
    <w:p w14:paraId="515D02A9"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וכאן מתעוררת השאלה: האם מותר לתפוס ולהכניס את התוכי לכלוב בשבת, או שמא יש בכך מלאכת צידה?</w:t>
      </w:r>
    </w:p>
    <w:p w14:paraId="783BF937" w14:textId="77777777" w:rsidR="00ED0BF6" w:rsidRPr="00ED0BF6" w:rsidRDefault="00ED0BF6" w:rsidP="00ED0BF6">
      <w:pPr>
        <w:contextualSpacing/>
        <w:rPr>
          <w:rFonts w:ascii="David" w:eastAsia="Calibri" w:hAnsi="David" w:cs="David"/>
          <w:rtl/>
        </w:rPr>
      </w:pPr>
    </w:p>
    <w:p w14:paraId="2FD49B6F"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הדברים נידונים ב</w:t>
      </w:r>
      <w:hyperlink r:id="rId16" w:history="1">
        <w:r w:rsidRPr="00ED0BF6">
          <w:rPr>
            <w:rFonts w:ascii="David" w:eastAsia="Calibri" w:hAnsi="David" w:cs="David" w:hint="cs"/>
            <w:color w:val="0563C1"/>
            <w:u w:val="single"/>
            <w:rtl/>
          </w:rPr>
          <w:t>מורנו שבת יחידה 57</w:t>
        </w:r>
      </w:hyperlink>
      <w:r w:rsidRPr="00ED0BF6">
        <w:rPr>
          <w:rFonts w:ascii="David" w:eastAsia="Calibri" w:hAnsi="David" w:cs="David" w:hint="cs"/>
          <w:rtl/>
        </w:rPr>
        <w:t xml:space="preserve">. נפרוש את עיקרי </w:t>
      </w:r>
      <w:proofErr w:type="spellStart"/>
      <w:r w:rsidRPr="00ED0BF6">
        <w:rPr>
          <w:rFonts w:ascii="David" w:eastAsia="Calibri" w:hAnsi="David" w:cs="David" w:hint="cs"/>
          <w:rtl/>
        </w:rPr>
        <w:t>הסוגיה</w:t>
      </w:r>
      <w:proofErr w:type="spellEnd"/>
      <w:r w:rsidRPr="00ED0BF6">
        <w:rPr>
          <w:rFonts w:ascii="David" w:eastAsia="Calibri" w:hAnsi="David" w:cs="David" w:hint="cs"/>
          <w:rtl/>
        </w:rPr>
        <w:t>:</w:t>
      </w:r>
    </w:p>
    <w:p w14:paraId="0A5BACE5" w14:textId="77777777" w:rsidR="00ED0BF6" w:rsidRPr="00ED0BF6" w:rsidRDefault="00ED0BF6" w:rsidP="00ED0BF6">
      <w:pPr>
        <w:contextualSpacing/>
        <w:rPr>
          <w:rFonts w:ascii="David" w:eastAsia="Calibri" w:hAnsi="David" w:cs="David"/>
          <w:rtl/>
        </w:rPr>
      </w:pPr>
      <w:proofErr w:type="spellStart"/>
      <w:r w:rsidRPr="00ED0BF6">
        <w:rPr>
          <w:rFonts w:ascii="David" w:eastAsia="Calibri" w:hAnsi="David" w:cs="David" w:hint="cs"/>
          <w:rtl/>
        </w:rPr>
        <w:t>הסוגיה</w:t>
      </w:r>
      <w:proofErr w:type="spellEnd"/>
      <w:r w:rsidRPr="00ED0BF6">
        <w:rPr>
          <w:rFonts w:ascii="David" w:eastAsia="Calibri" w:hAnsi="David" w:cs="David" w:hint="cs"/>
          <w:rtl/>
        </w:rPr>
        <w:t xml:space="preserve"> מתחילה מהמשנה במסכת שבת (יד א)</w:t>
      </w:r>
      <w:r w:rsidRPr="00ED0BF6">
        <w:rPr>
          <w:rFonts w:ascii="David" w:eastAsia="Calibri" w:hAnsi="David" w:cs="David" w:hint="cs"/>
        </w:rPr>
        <w:t xml:space="preserve"> </w:t>
      </w:r>
      <w:r w:rsidRPr="00ED0BF6">
        <w:rPr>
          <w:rFonts w:ascii="David" w:eastAsia="Calibri" w:hAnsi="David" w:cs="David" w:hint="cs"/>
          <w:rtl/>
        </w:rPr>
        <w:t xml:space="preserve">בה נאמר ש"חיה ועוף שברשותו </w:t>
      </w:r>
      <w:r w:rsidRPr="00ED0BF6">
        <w:rPr>
          <w:rFonts w:ascii="David" w:eastAsia="Calibri" w:hAnsi="David" w:cs="David"/>
          <w:rtl/>
        </w:rPr>
        <w:t>–</w:t>
      </w:r>
      <w:r w:rsidRPr="00ED0BF6">
        <w:rPr>
          <w:rFonts w:ascii="David" w:eastAsia="Calibri" w:hAnsi="David" w:cs="David" w:hint="cs"/>
          <w:rtl/>
        </w:rPr>
        <w:t xml:space="preserve"> </w:t>
      </w:r>
      <w:proofErr w:type="spellStart"/>
      <w:r w:rsidRPr="00ED0BF6">
        <w:rPr>
          <w:rFonts w:ascii="David" w:eastAsia="Calibri" w:hAnsi="David" w:cs="David" w:hint="cs"/>
          <w:rtl/>
        </w:rPr>
        <w:t>הצדן</w:t>
      </w:r>
      <w:proofErr w:type="spellEnd"/>
      <w:r w:rsidRPr="00ED0BF6">
        <w:rPr>
          <w:rFonts w:ascii="David" w:eastAsia="Calibri" w:hAnsi="David" w:cs="David" w:hint="cs"/>
          <w:rtl/>
        </w:rPr>
        <w:t xml:space="preserve"> פטור". לשון "פטור" משמעו בדרך כלל פטור, אך אסור לעשות כך מדרבנן.</w:t>
      </w:r>
    </w:p>
    <w:p w14:paraId="7A04902D"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אך במסכת שבת (דף קו ע"ב) כתוב </w:t>
      </w:r>
      <w:proofErr w:type="spellStart"/>
      <w:r w:rsidRPr="00ED0BF6">
        <w:rPr>
          <w:rFonts w:ascii="David" w:eastAsia="Calibri" w:hAnsi="David" w:cs="David" w:hint="cs"/>
          <w:rtl/>
        </w:rPr>
        <w:t>שצדין</w:t>
      </w:r>
      <w:proofErr w:type="spellEnd"/>
      <w:r w:rsidRPr="00ED0BF6">
        <w:rPr>
          <w:rFonts w:ascii="David" w:eastAsia="Calibri" w:hAnsi="David" w:cs="David" w:hint="cs"/>
          <w:rtl/>
        </w:rPr>
        <w:t xml:space="preserve"> חיה ועוף, ומשמע מההקשר שהכוונה היא שמותר לצוד את החיה והעוף שברשותו.</w:t>
      </w:r>
    </w:p>
    <w:p w14:paraId="1C1BF706"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הגמרא ממשיכה ומביאה סתירה </w:t>
      </w:r>
      <w:proofErr w:type="spellStart"/>
      <w:r w:rsidRPr="00ED0BF6">
        <w:rPr>
          <w:rFonts w:ascii="David" w:eastAsia="Calibri" w:hAnsi="David" w:cs="David" w:hint="cs"/>
          <w:rtl/>
        </w:rPr>
        <w:t>מברייתא</w:t>
      </w:r>
      <w:proofErr w:type="spellEnd"/>
      <w:r w:rsidRPr="00ED0BF6">
        <w:rPr>
          <w:rFonts w:ascii="David" w:eastAsia="Calibri" w:hAnsi="David" w:cs="David" w:hint="cs"/>
          <w:rtl/>
        </w:rPr>
        <w:t xml:space="preserve"> נוספת, בה נאמר שאסור לצוד עופות גם מהביבר הפרטי של האדם. משמע שלמרות שהם ברשותו אסור לצוד אותן. רבה בר רב </w:t>
      </w:r>
      <w:proofErr w:type="spellStart"/>
      <w:r w:rsidRPr="00ED0BF6">
        <w:rPr>
          <w:rFonts w:ascii="David" w:eastAsia="Calibri" w:hAnsi="David" w:cs="David" w:hint="cs"/>
          <w:rtl/>
        </w:rPr>
        <w:t>הונא</w:t>
      </w:r>
      <w:proofErr w:type="spellEnd"/>
      <w:r w:rsidRPr="00ED0BF6">
        <w:rPr>
          <w:rFonts w:ascii="David" w:eastAsia="Calibri" w:hAnsi="David" w:cs="David" w:hint="cs"/>
          <w:rtl/>
        </w:rPr>
        <w:t xml:space="preserve"> מכריע שזה תלוי אם מדובר בציפור דרור, כלומר, ציפור שגם אם האדם מתייחס אליה כשלו, היא חופשית ברוחה.</w:t>
      </w:r>
    </w:p>
    <w:p w14:paraId="77E07193"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דבר דומה מופיע בירושלמי (שבת פרק יד א) שם אומר רבי </w:t>
      </w:r>
      <w:proofErr w:type="spellStart"/>
      <w:r w:rsidRPr="00ED0BF6">
        <w:rPr>
          <w:rFonts w:ascii="David" w:eastAsia="Calibri" w:hAnsi="David" w:cs="David" w:hint="cs"/>
          <w:rtl/>
        </w:rPr>
        <w:t>יוסה</w:t>
      </w:r>
      <w:proofErr w:type="spellEnd"/>
      <w:r w:rsidRPr="00ED0BF6">
        <w:rPr>
          <w:rFonts w:ascii="David" w:eastAsia="Calibri" w:hAnsi="David" w:cs="David" w:hint="cs"/>
          <w:rtl/>
        </w:rPr>
        <w:t xml:space="preserve"> שאם צדים שור שמרד </w:t>
      </w:r>
      <w:r w:rsidRPr="00ED0BF6">
        <w:rPr>
          <w:rFonts w:ascii="David" w:eastAsia="Calibri" w:hAnsi="David" w:cs="David"/>
          <w:rtl/>
        </w:rPr>
        <w:t>–</w:t>
      </w:r>
      <w:r w:rsidRPr="00ED0BF6">
        <w:rPr>
          <w:rFonts w:ascii="David" w:eastAsia="Calibri" w:hAnsi="David" w:cs="David" w:hint="cs"/>
          <w:rtl/>
        </w:rPr>
        <w:t xml:space="preserve"> חייב. כלומר, יש בכך איסור דאורייתא.</w:t>
      </w:r>
    </w:p>
    <w:p w14:paraId="787210C8" w14:textId="77777777" w:rsidR="00ED0BF6" w:rsidRPr="00ED0BF6" w:rsidRDefault="00ED0BF6" w:rsidP="00ED0BF6">
      <w:pPr>
        <w:contextualSpacing/>
        <w:rPr>
          <w:rFonts w:ascii="David" w:eastAsia="Calibri" w:hAnsi="David" w:cs="David"/>
          <w:rtl/>
        </w:rPr>
      </w:pPr>
      <w:proofErr w:type="spellStart"/>
      <w:r w:rsidRPr="00ED0BF6">
        <w:rPr>
          <w:rFonts w:ascii="David" w:eastAsia="Calibri" w:hAnsi="David" w:cs="David" w:hint="cs"/>
          <w:rtl/>
        </w:rPr>
        <w:t>השו"ע</w:t>
      </w:r>
      <w:proofErr w:type="spellEnd"/>
      <w:r w:rsidRPr="00ED0BF6">
        <w:rPr>
          <w:rFonts w:ascii="David" w:eastAsia="Calibri" w:hAnsi="David" w:cs="David" w:hint="cs"/>
          <w:rtl/>
        </w:rPr>
        <w:t xml:space="preserve"> (אורח חיים סימן </w:t>
      </w:r>
      <w:proofErr w:type="spellStart"/>
      <w:r w:rsidRPr="00ED0BF6">
        <w:rPr>
          <w:rFonts w:ascii="David" w:eastAsia="Calibri" w:hAnsi="David" w:cs="David" w:hint="cs"/>
          <w:rtl/>
        </w:rPr>
        <w:t>שטז</w:t>
      </w:r>
      <w:proofErr w:type="spellEnd"/>
      <w:r w:rsidRPr="00ED0BF6">
        <w:rPr>
          <w:rFonts w:ascii="David" w:eastAsia="Calibri" w:hAnsi="David" w:cs="David" w:hint="cs"/>
          <w:rtl/>
        </w:rPr>
        <w:t xml:space="preserve"> סעיף </w:t>
      </w:r>
      <w:proofErr w:type="spellStart"/>
      <w:r w:rsidRPr="00ED0BF6">
        <w:rPr>
          <w:rFonts w:ascii="David" w:eastAsia="Calibri" w:hAnsi="David" w:cs="David" w:hint="cs"/>
          <w:rtl/>
        </w:rPr>
        <w:t>יב</w:t>
      </w:r>
      <w:proofErr w:type="spellEnd"/>
      <w:r w:rsidRPr="00ED0BF6">
        <w:rPr>
          <w:rFonts w:ascii="David" w:eastAsia="Calibri" w:hAnsi="David" w:cs="David" w:hint="cs"/>
          <w:rtl/>
        </w:rPr>
        <w:t xml:space="preserve">) כותב שמותר לצוד את החיות שברשותו, בתנאי שהחיות אינן מורדות. אם הן מורדות </w:t>
      </w:r>
      <w:r w:rsidRPr="00ED0BF6">
        <w:rPr>
          <w:rFonts w:ascii="David" w:eastAsia="Calibri" w:hAnsi="David" w:cs="David"/>
          <w:rtl/>
        </w:rPr>
        <w:t>–</w:t>
      </w:r>
      <w:r w:rsidRPr="00ED0BF6">
        <w:rPr>
          <w:rFonts w:ascii="David" w:eastAsia="Calibri" w:hAnsi="David" w:cs="David" w:hint="cs"/>
          <w:rtl/>
        </w:rPr>
        <w:t xml:space="preserve"> אסור. </w:t>
      </w:r>
      <w:proofErr w:type="spellStart"/>
      <w:r w:rsidRPr="00ED0BF6">
        <w:rPr>
          <w:rFonts w:ascii="David" w:eastAsia="Calibri" w:hAnsi="David" w:cs="David" w:hint="cs"/>
          <w:rtl/>
        </w:rPr>
        <w:t>הרמ"א</w:t>
      </w:r>
      <w:proofErr w:type="spellEnd"/>
      <w:r w:rsidRPr="00ED0BF6">
        <w:rPr>
          <w:rFonts w:ascii="David" w:eastAsia="Calibri" w:hAnsi="David" w:cs="David" w:hint="cs"/>
          <w:rtl/>
        </w:rPr>
        <w:t xml:space="preserve"> אומר שאסור מדרבנן לצוד את החיות שברשותו, ואסור מדאורייתא לצוד חיות שמרדו.</w:t>
      </w:r>
    </w:p>
    <w:p w14:paraId="4AFAB693"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מה הן גבולות המחלוקת של </w:t>
      </w:r>
      <w:proofErr w:type="spellStart"/>
      <w:r w:rsidRPr="00ED0BF6">
        <w:rPr>
          <w:rFonts w:ascii="David" w:eastAsia="Calibri" w:hAnsi="David" w:cs="David" w:hint="cs"/>
          <w:rtl/>
        </w:rPr>
        <w:t>השו"ע</w:t>
      </w:r>
      <w:proofErr w:type="spellEnd"/>
      <w:r w:rsidRPr="00ED0BF6">
        <w:rPr>
          <w:rFonts w:ascii="David" w:eastAsia="Calibri" w:hAnsi="David" w:cs="David" w:hint="cs"/>
          <w:rtl/>
        </w:rPr>
        <w:t xml:space="preserve"> </w:t>
      </w:r>
      <w:proofErr w:type="spellStart"/>
      <w:r w:rsidRPr="00ED0BF6">
        <w:rPr>
          <w:rFonts w:ascii="David" w:eastAsia="Calibri" w:hAnsi="David" w:cs="David" w:hint="cs"/>
          <w:rtl/>
        </w:rPr>
        <w:t>והרמ"א</w:t>
      </w:r>
      <w:proofErr w:type="spellEnd"/>
      <w:r w:rsidRPr="00ED0BF6">
        <w:rPr>
          <w:rFonts w:ascii="David" w:eastAsia="Calibri" w:hAnsi="David" w:cs="David" w:hint="cs"/>
          <w:rtl/>
        </w:rPr>
        <w:t>? הפוסקים אומרים שיש שלושה מצבים:</w:t>
      </w:r>
    </w:p>
    <w:p w14:paraId="0F3B113A" w14:textId="77777777" w:rsidR="00ED0BF6" w:rsidRPr="00ED0BF6" w:rsidRDefault="00ED0BF6" w:rsidP="00ED0BF6">
      <w:pPr>
        <w:numPr>
          <w:ilvl w:val="0"/>
          <w:numId w:val="37"/>
        </w:numPr>
        <w:contextualSpacing/>
        <w:jc w:val="both"/>
        <w:rPr>
          <w:rFonts w:ascii="David" w:eastAsia="Calibri" w:hAnsi="David" w:cs="David"/>
        </w:rPr>
      </w:pPr>
      <w:r w:rsidRPr="00ED0BF6">
        <w:rPr>
          <w:rFonts w:ascii="David" w:eastAsia="Calibri" w:hAnsi="David" w:cs="David" w:hint="cs"/>
          <w:rtl/>
        </w:rPr>
        <w:t>חיות ובהמות שברשותו שאינן מתחמקות. אותן מותר לתפוס-לצוד לכתחילה לכל הדעות.</w:t>
      </w:r>
    </w:p>
    <w:p w14:paraId="6810A028" w14:textId="77777777" w:rsidR="00ED0BF6" w:rsidRPr="00ED0BF6" w:rsidRDefault="00ED0BF6" w:rsidP="00ED0BF6">
      <w:pPr>
        <w:numPr>
          <w:ilvl w:val="0"/>
          <w:numId w:val="37"/>
        </w:numPr>
        <w:contextualSpacing/>
        <w:jc w:val="both"/>
        <w:rPr>
          <w:rFonts w:ascii="David" w:eastAsia="Calibri" w:hAnsi="David" w:cs="David"/>
        </w:rPr>
      </w:pPr>
      <w:r w:rsidRPr="00ED0BF6">
        <w:rPr>
          <w:rFonts w:ascii="David" w:eastAsia="Calibri" w:hAnsi="David" w:cs="David" w:hint="cs"/>
          <w:rtl/>
        </w:rPr>
        <w:t xml:space="preserve">חיות שאינן מאפשרות לבעליהן לתפוס אותן, למרות שבסופו של דבר הן ישובו הביתה. </w:t>
      </w:r>
      <w:proofErr w:type="spellStart"/>
      <w:r w:rsidRPr="00ED0BF6">
        <w:rPr>
          <w:rFonts w:ascii="David" w:eastAsia="Calibri" w:hAnsi="David" w:cs="David" w:hint="cs"/>
          <w:rtl/>
        </w:rPr>
        <w:t>השו"ע</w:t>
      </w:r>
      <w:proofErr w:type="spellEnd"/>
      <w:r w:rsidRPr="00ED0BF6">
        <w:rPr>
          <w:rFonts w:ascii="David" w:eastAsia="Calibri" w:hAnsi="David" w:cs="David" w:hint="cs"/>
          <w:rtl/>
        </w:rPr>
        <w:t xml:space="preserve"> מתיר לצוד אותן לכתחילה, </w:t>
      </w:r>
      <w:proofErr w:type="spellStart"/>
      <w:r w:rsidRPr="00ED0BF6">
        <w:rPr>
          <w:rFonts w:ascii="David" w:eastAsia="Calibri" w:hAnsi="David" w:cs="David" w:hint="cs"/>
          <w:rtl/>
        </w:rPr>
        <w:t>והרמ"א</w:t>
      </w:r>
      <w:proofErr w:type="spellEnd"/>
      <w:r w:rsidRPr="00ED0BF6">
        <w:rPr>
          <w:rFonts w:ascii="David" w:eastAsia="Calibri" w:hAnsi="David" w:cs="David" w:hint="cs"/>
          <w:rtl/>
        </w:rPr>
        <w:t xml:space="preserve"> אומר שתפיסתם אסורה מדרבנן.</w:t>
      </w:r>
    </w:p>
    <w:p w14:paraId="60DD0050" w14:textId="77777777" w:rsidR="00ED0BF6" w:rsidRPr="00ED0BF6" w:rsidRDefault="00ED0BF6" w:rsidP="00ED0BF6">
      <w:pPr>
        <w:numPr>
          <w:ilvl w:val="0"/>
          <w:numId w:val="37"/>
        </w:numPr>
        <w:contextualSpacing/>
        <w:jc w:val="both"/>
        <w:rPr>
          <w:rFonts w:ascii="David" w:eastAsia="Calibri" w:hAnsi="David" w:cs="David"/>
          <w:rtl/>
        </w:rPr>
      </w:pPr>
      <w:r w:rsidRPr="00ED0BF6">
        <w:rPr>
          <w:rFonts w:ascii="David" w:eastAsia="Calibri" w:hAnsi="David" w:cs="David" w:hint="cs"/>
          <w:rtl/>
        </w:rPr>
        <w:t>בהמות שמורדות ממש, ואינן מאפשרות לבעליהן לתפוס אותן. מבחינתן הן יצאו לחופש. לגביהן מוסכם שבצידתן עובר על איסור דאורייתא.</w:t>
      </w:r>
    </w:p>
    <w:p w14:paraId="1961D87A" w14:textId="77777777" w:rsidR="00ED0BF6" w:rsidRPr="00ED0BF6" w:rsidRDefault="00ED0BF6" w:rsidP="00ED0BF6">
      <w:pPr>
        <w:contextualSpacing/>
        <w:rPr>
          <w:rFonts w:ascii="David" w:eastAsia="Calibri" w:hAnsi="David" w:cs="David"/>
          <w:rtl/>
        </w:rPr>
      </w:pPr>
    </w:p>
    <w:p w14:paraId="59BA8ADF"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על פניו, לפי הצגת השאלה, מדובר במקרה ב'. כלומר: דרך התוכי להישמט ולחמוק מכם כאשר אתם מנסים לתפוס אותו, אך התוכי מבין שהוא לא יישאר מחוץ לכלוב לעד. אם הוא רק משחק איתכם קצת, מותר לתפוס אותו. אם כוונתך שברגע שמחזיקים לו רגל בעדינות הוא מקבל את מרותך, אין בכך איסור לכולי עלמא. אך אם הוא באמת משתדל לחמוק, לפוסקים כשולחן ערוך (כמנהג עדות המזרח) מותר לתפסו בשבת, ולפי </w:t>
      </w:r>
      <w:proofErr w:type="spellStart"/>
      <w:r w:rsidRPr="00ED0BF6">
        <w:rPr>
          <w:rFonts w:ascii="David" w:eastAsia="Calibri" w:hAnsi="David" w:cs="David" w:hint="cs"/>
          <w:rtl/>
        </w:rPr>
        <w:t>הרמ"א</w:t>
      </w:r>
      <w:proofErr w:type="spellEnd"/>
      <w:r w:rsidRPr="00ED0BF6">
        <w:rPr>
          <w:rFonts w:ascii="David" w:eastAsia="Calibri" w:hAnsi="David" w:cs="David" w:hint="cs"/>
          <w:rtl/>
        </w:rPr>
        <w:t xml:space="preserve"> (כמנהג האשכנזים) יש בכך איסור דרבנן.</w:t>
      </w:r>
    </w:p>
    <w:p w14:paraId="646E82F2"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ברם, </w:t>
      </w:r>
      <w:proofErr w:type="spellStart"/>
      <w:r w:rsidRPr="00ED0BF6">
        <w:rPr>
          <w:rFonts w:ascii="David" w:eastAsia="Calibri" w:hAnsi="David" w:cs="David" w:hint="cs"/>
          <w:rtl/>
        </w:rPr>
        <w:t>השש"כ</w:t>
      </w:r>
      <w:proofErr w:type="spellEnd"/>
      <w:r w:rsidRPr="00ED0BF6">
        <w:rPr>
          <w:rFonts w:ascii="David" w:eastAsia="Calibri" w:hAnsi="David" w:cs="David" w:hint="cs"/>
          <w:rtl/>
        </w:rPr>
        <w:t xml:space="preserve"> (פרק </w:t>
      </w:r>
      <w:proofErr w:type="spellStart"/>
      <w:r w:rsidRPr="00ED0BF6">
        <w:rPr>
          <w:rFonts w:ascii="David" w:eastAsia="Calibri" w:hAnsi="David" w:cs="David" w:hint="cs"/>
          <w:rtl/>
        </w:rPr>
        <w:t>כז</w:t>
      </w:r>
      <w:proofErr w:type="spellEnd"/>
      <w:r w:rsidRPr="00ED0BF6">
        <w:rPr>
          <w:rFonts w:ascii="David" w:eastAsia="Calibri" w:hAnsi="David" w:cs="David" w:hint="cs"/>
          <w:rtl/>
        </w:rPr>
        <w:t xml:space="preserve"> סעיף לה) כותב שכמובן שחז"ל לא אסרו את תפיסת העוף במקום צער, לעוף או לאדם. בלשונו "אם קיים חשש הפסד או צער בעלי חיים, ולא ניתן להמתין עד מוצאי שבת </w:t>
      </w:r>
      <w:r w:rsidRPr="00ED0BF6">
        <w:rPr>
          <w:rFonts w:ascii="David" w:eastAsia="Calibri" w:hAnsi="David" w:cs="David"/>
          <w:rtl/>
        </w:rPr>
        <w:t>–</w:t>
      </w:r>
      <w:r w:rsidRPr="00ED0BF6">
        <w:rPr>
          <w:rFonts w:ascii="David" w:eastAsia="Calibri" w:hAnsi="David" w:cs="David" w:hint="cs"/>
          <w:rtl/>
        </w:rPr>
        <w:t xml:space="preserve"> מותר </w:t>
      </w:r>
      <w:proofErr w:type="spellStart"/>
      <w:r w:rsidRPr="00ED0BF6">
        <w:rPr>
          <w:rFonts w:ascii="David" w:eastAsia="Calibri" w:hAnsi="David" w:cs="David" w:hint="cs"/>
          <w:rtl/>
        </w:rPr>
        <w:t>לצודו</w:t>
      </w:r>
      <w:proofErr w:type="spellEnd"/>
      <w:r w:rsidRPr="00ED0BF6">
        <w:rPr>
          <w:rFonts w:ascii="David" w:eastAsia="Calibri" w:hAnsi="David" w:cs="David" w:hint="cs"/>
          <w:rtl/>
        </w:rPr>
        <w:t xml:space="preserve">". </w:t>
      </w:r>
    </w:p>
    <w:p w14:paraId="7EA27A5E"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במקרה זה, גם אם הוא באמת מתחמק מכם, הצורך להושיב את האורחים בנחת בסעודת השבת גוברת על איסור דרבנן שיש בצידת התוכי.</w:t>
      </w:r>
    </w:p>
    <w:p w14:paraId="3A3D5D0A" w14:textId="77777777" w:rsidR="00ED0BF6" w:rsidRPr="00ED0BF6" w:rsidRDefault="00ED0BF6" w:rsidP="00ED0BF6">
      <w:pPr>
        <w:contextualSpacing/>
        <w:rPr>
          <w:rFonts w:ascii="David" w:eastAsia="Calibri" w:hAnsi="David" w:cs="David"/>
          <w:rtl/>
        </w:rPr>
      </w:pPr>
    </w:p>
    <w:p w14:paraId="5F2709E5"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לכאורה עולה כאן שאלה עקרונית: מדוע שתהיה </w:t>
      </w:r>
      <w:proofErr w:type="spellStart"/>
      <w:r w:rsidRPr="00ED0BF6">
        <w:rPr>
          <w:rFonts w:ascii="David" w:eastAsia="Calibri" w:hAnsi="David" w:cs="David" w:hint="cs"/>
          <w:rtl/>
        </w:rPr>
        <w:t>קולא</w:t>
      </w:r>
      <w:proofErr w:type="spellEnd"/>
      <w:r w:rsidRPr="00ED0BF6">
        <w:rPr>
          <w:rFonts w:ascii="David" w:eastAsia="Calibri" w:hAnsi="David" w:cs="David" w:hint="cs"/>
          <w:rtl/>
        </w:rPr>
        <w:t xml:space="preserve"> מיוחדת בהקשר זה? לא מצאנו היתרים לעשות מלאכות אחרות בגלל שהן ברשות האדם?</w:t>
      </w:r>
    </w:p>
    <w:p w14:paraId="77B3780B"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יש לבאר את הדבר בשתי תשובות:</w:t>
      </w:r>
    </w:p>
    <w:p w14:paraId="3B1146BE" w14:textId="77777777" w:rsidR="00ED0BF6" w:rsidRPr="00ED0BF6" w:rsidRDefault="00ED0BF6" w:rsidP="00ED0BF6">
      <w:pPr>
        <w:numPr>
          <w:ilvl w:val="0"/>
          <w:numId w:val="38"/>
        </w:numPr>
        <w:contextualSpacing/>
        <w:jc w:val="both"/>
        <w:rPr>
          <w:rFonts w:ascii="David" w:eastAsia="Calibri" w:hAnsi="David" w:cs="David"/>
        </w:rPr>
      </w:pPr>
      <w:r w:rsidRPr="00ED0BF6">
        <w:rPr>
          <w:rFonts w:ascii="David" w:eastAsia="Calibri" w:hAnsi="David" w:cs="David" w:hint="cs"/>
          <w:rtl/>
        </w:rPr>
        <w:t>מה משמעות הציד? ההגדרה של צידה היא להפוך חיה שבטבע לזמינה לשימושו של האדם. אם הבהמה כבר זמינה לאדם, הרי שתפיסתה אינה מחדשת דבר.</w:t>
      </w:r>
    </w:p>
    <w:p w14:paraId="20D3AD88" w14:textId="77777777" w:rsidR="00ED0BF6" w:rsidRPr="00ED0BF6" w:rsidRDefault="00ED0BF6" w:rsidP="00ED0BF6">
      <w:pPr>
        <w:numPr>
          <w:ilvl w:val="0"/>
          <w:numId w:val="38"/>
        </w:numPr>
        <w:contextualSpacing/>
        <w:jc w:val="both"/>
        <w:rPr>
          <w:rFonts w:ascii="David" w:eastAsia="Calibri" w:hAnsi="David" w:cs="David"/>
          <w:rtl/>
        </w:rPr>
      </w:pPr>
      <w:r w:rsidRPr="00ED0BF6">
        <w:rPr>
          <w:rFonts w:ascii="David" w:eastAsia="Calibri" w:hAnsi="David" w:cs="David" w:hint="cs"/>
          <w:rtl/>
        </w:rPr>
        <w:t>מלאכת צייד מראש זו "מלאכה גרועה". נבאר את הדבר:</w:t>
      </w:r>
    </w:p>
    <w:p w14:paraId="73B51152" w14:textId="77777777" w:rsidR="00ED0BF6" w:rsidRPr="00ED0BF6" w:rsidRDefault="00ED0BF6" w:rsidP="00ED0BF6">
      <w:pPr>
        <w:contextualSpacing/>
        <w:rPr>
          <w:rFonts w:ascii="David" w:eastAsia="Calibri" w:hAnsi="David" w:cs="David"/>
          <w:rtl/>
        </w:rPr>
      </w:pPr>
    </w:p>
    <w:p w14:paraId="04666B9B"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באופן כללי הרמב"ם (הלכות שבת פרק א ז) פוסק שאדם חייב על מלאכה שאינה צריכה לגופה. כלומר, גם אם אינו מעוניין בתכלית הרגילה של המלאכה </w:t>
      </w:r>
      <w:r w:rsidRPr="00ED0BF6">
        <w:rPr>
          <w:rFonts w:ascii="David" w:eastAsia="Calibri" w:hAnsi="David" w:cs="David"/>
          <w:rtl/>
        </w:rPr>
        <w:t>–</w:t>
      </w:r>
      <w:r w:rsidRPr="00ED0BF6">
        <w:rPr>
          <w:rFonts w:ascii="David" w:eastAsia="Calibri" w:hAnsi="David" w:cs="David" w:hint="cs"/>
          <w:rtl/>
        </w:rPr>
        <w:t xml:space="preserve"> הוא עדיין חייב עליה. לדוגמא: מי שחופר בור בכדי להשיג את העפר, ולא בכדי שיהיה לו בור </w:t>
      </w:r>
      <w:r w:rsidRPr="00ED0BF6">
        <w:rPr>
          <w:rFonts w:ascii="David" w:eastAsia="Calibri" w:hAnsi="David" w:cs="David"/>
          <w:rtl/>
        </w:rPr>
        <w:t>–</w:t>
      </w:r>
      <w:r w:rsidRPr="00ED0BF6">
        <w:rPr>
          <w:rFonts w:ascii="David" w:eastAsia="Calibri" w:hAnsi="David" w:cs="David" w:hint="cs"/>
          <w:rtl/>
        </w:rPr>
        <w:t xml:space="preserve"> חייב.</w:t>
      </w:r>
    </w:p>
    <w:p w14:paraId="683AD3AD"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 xml:space="preserve">אך הרמב"ם (שם י </w:t>
      </w:r>
      <w:proofErr w:type="spellStart"/>
      <w:r w:rsidRPr="00ED0BF6">
        <w:rPr>
          <w:rFonts w:ascii="David" w:eastAsia="Calibri" w:hAnsi="David" w:cs="David" w:hint="cs"/>
          <w:rtl/>
        </w:rPr>
        <w:t>יט</w:t>
      </w:r>
      <w:proofErr w:type="spellEnd"/>
      <w:r w:rsidRPr="00ED0BF6">
        <w:rPr>
          <w:rFonts w:ascii="David" w:eastAsia="Calibri" w:hAnsi="David" w:cs="David" w:hint="cs"/>
          <w:rtl/>
        </w:rPr>
        <w:t xml:space="preserve">) פוסק שהצד סוג חיה שאנשים אינם רגילים לצוד </w:t>
      </w:r>
      <w:r w:rsidRPr="00ED0BF6">
        <w:rPr>
          <w:rFonts w:ascii="David" w:eastAsia="Calibri" w:hAnsi="David" w:cs="David"/>
          <w:rtl/>
        </w:rPr>
        <w:t>–</w:t>
      </w:r>
      <w:r w:rsidRPr="00ED0BF6">
        <w:rPr>
          <w:rFonts w:ascii="David" w:eastAsia="Calibri" w:hAnsi="David" w:cs="David" w:hint="cs"/>
          <w:rtl/>
        </w:rPr>
        <w:t xml:space="preserve"> פטור. מדוע? אמנם אין לו שימוש בחיה הזאת, אבל השימושיות האישית שלו אינה אמורה להשפיע על החיוב!</w:t>
      </w:r>
    </w:p>
    <w:p w14:paraId="33D780CB"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האבני נזר עונה על השאלה:</w:t>
      </w:r>
    </w:p>
    <w:p w14:paraId="6D74C9A1"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רוב המלאכות משנות את העולם, ומספקות תוצר מסוים. אדמה שלא הייתה חרושה, כעת היא חרושה. אוכל שלא היה מבושל, עתה הוא מבושל. אך הציד לא באמת שינה דבר. הוא הפך את הבהמה ל"זמינה". כעת האדם מסוגל לקחת ולהשתמש בה.</w:t>
      </w:r>
    </w:p>
    <w:p w14:paraId="3468162E"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מכיוון שכל מהות המלאכה מבוססת על הזמינות לאדם, אין מנוס מלהתייחס למטרותיו של האדם. אם כך, אדם שאין לו עניין בחיה זו לא יתחייב על צידתה.</w:t>
      </w:r>
    </w:p>
    <w:p w14:paraId="1827C3BF" w14:textId="77777777" w:rsidR="00ED0BF6" w:rsidRPr="00ED0BF6" w:rsidRDefault="00ED0BF6" w:rsidP="00ED0BF6">
      <w:pPr>
        <w:contextualSpacing/>
        <w:rPr>
          <w:rFonts w:ascii="David" w:eastAsia="Calibri" w:hAnsi="David" w:cs="David"/>
          <w:rtl/>
        </w:rPr>
      </w:pPr>
    </w:p>
    <w:p w14:paraId="488D327B" w14:textId="77777777" w:rsidR="00ED0BF6" w:rsidRPr="00ED0BF6" w:rsidRDefault="00ED0BF6" w:rsidP="00ED0BF6">
      <w:pPr>
        <w:contextualSpacing/>
        <w:rPr>
          <w:rFonts w:ascii="David" w:eastAsia="Calibri" w:hAnsi="David" w:cs="David"/>
          <w:rtl/>
        </w:rPr>
      </w:pPr>
      <w:r w:rsidRPr="00ED0BF6">
        <w:rPr>
          <w:rFonts w:ascii="David" w:eastAsia="Calibri" w:hAnsi="David" w:cs="David" w:hint="cs"/>
          <w:rtl/>
        </w:rPr>
        <w:t>נשוב לענייננו: רק ציד שהופך את העוף לזמין יותר הוא ציד. ציד שלא שינה את הזמינות לאדם אינו אסור (לפחות מן התורה).</w:t>
      </w:r>
    </w:p>
    <w:p w14:paraId="6BD66615" w14:textId="77777777" w:rsidR="00ED0BF6" w:rsidRPr="00ED0BF6" w:rsidRDefault="00ED0BF6" w:rsidP="00ED0BF6">
      <w:pPr>
        <w:contextualSpacing/>
        <w:rPr>
          <w:rFonts w:ascii="David" w:eastAsia="Calibri" w:hAnsi="David" w:cs="David"/>
        </w:rPr>
      </w:pPr>
    </w:p>
    <w:p w14:paraId="66840C05" w14:textId="77777777" w:rsidR="00E008F5" w:rsidRPr="00ED0BF6" w:rsidRDefault="00E008F5" w:rsidP="00E008F5">
      <w:pPr>
        <w:contextualSpacing/>
        <w:rPr>
          <w:rFonts w:ascii="David" w:eastAsia="Calibri" w:hAnsi="David" w:cs="David"/>
          <w:sz w:val="10"/>
          <w:szCs w:val="10"/>
          <w:rtl/>
          <w:lang w:eastAsia="he-IL"/>
        </w:rPr>
      </w:pPr>
    </w:p>
    <w:p w14:paraId="571A3DB2" w14:textId="43F6EE6D" w:rsidR="00173367" w:rsidRPr="00173367" w:rsidRDefault="00D04223" w:rsidP="00BE31A3">
      <w:pPr>
        <w:contextualSpacing/>
        <w:jc w:val="center"/>
        <w:rPr>
          <w:rFonts w:cs="David"/>
          <w:b/>
          <w:bCs/>
          <w:color w:val="002060"/>
          <w:sz w:val="23"/>
          <w:szCs w:val="23"/>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2B33FA3" w14:textId="77777777" w:rsidR="00173367" w:rsidRDefault="00173367" w:rsidP="00BE31A3">
      <w:pPr>
        <w:contextualSpacing/>
        <w:jc w:val="center"/>
        <w:rPr>
          <w:rFonts w:cs="David"/>
          <w:b/>
          <w:bCs/>
          <w:color w:val="0070C0"/>
          <w:rtl/>
          <w:lang w:eastAsia="he-IL"/>
        </w:rPr>
      </w:pPr>
    </w:p>
    <w:p w14:paraId="754C0CDC" w14:textId="7454C26A"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5CA39D5A" w14:textId="0BD87B69" w:rsidR="004B5262" w:rsidRDefault="004B5262" w:rsidP="00FD6695">
      <w:pPr>
        <w:rPr>
          <w:sz w:val="14"/>
          <w:szCs w:val="14"/>
          <w:rtl/>
        </w:rPr>
      </w:pPr>
    </w:p>
    <w:p w14:paraId="677B7356" w14:textId="63D936BA" w:rsidR="00C37984" w:rsidRDefault="00B96A4F"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p w14:paraId="0D87034F" w14:textId="756067D5" w:rsidR="00C37984" w:rsidRDefault="00C37984" w:rsidP="00C37984">
      <w:pPr>
        <w:autoSpaceDE w:val="0"/>
        <w:autoSpaceDN w:val="0"/>
        <w:contextualSpacing/>
        <w:rPr>
          <w:rFonts w:cs="David"/>
          <w:rtl/>
        </w:rPr>
      </w:pPr>
    </w:p>
    <w:bookmarkEnd w:id="0"/>
    <w:p w14:paraId="590B9CA0"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hint="cs"/>
          <w:noProof/>
          <w:rtl/>
        </w:rPr>
        <w:t>(מתוך ח"ד)</w:t>
      </w:r>
    </w:p>
    <w:p w14:paraId="2D84923F" w14:textId="77777777" w:rsidR="00804CB7" w:rsidRPr="00804CB7" w:rsidRDefault="00804CB7" w:rsidP="00804CB7">
      <w:pPr>
        <w:widowControl w:val="0"/>
        <w:autoSpaceDE w:val="0"/>
        <w:autoSpaceDN w:val="0"/>
        <w:adjustRightInd w:val="0"/>
        <w:contextualSpacing/>
        <w:rPr>
          <w:rFonts w:ascii="David" w:hAnsi="David" w:cs="David"/>
          <w:noProof/>
          <w:rtl/>
        </w:rPr>
      </w:pPr>
    </w:p>
    <w:p w14:paraId="51EB58D9" w14:textId="465070FF" w:rsidR="00804CB7" w:rsidRPr="00804CB7" w:rsidRDefault="00804CB7" w:rsidP="00804CB7">
      <w:pPr>
        <w:widowControl w:val="0"/>
        <w:autoSpaceDE w:val="0"/>
        <w:autoSpaceDN w:val="0"/>
        <w:adjustRightInd w:val="0"/>
        <w:contextualSpacing/>
        <w:rPr>
          <w:rFonts w:ascii="David" w:hAnsi="David" w:cs="David"/>
          <w:b/>
          <w:bCs/>
          <w:noProof/>
          <w:sz w:val="32"/>
          <w:szCs w:val="32"/>
          <w:rtl/>
        </w:rPr>
      </w:pPr>
      <w:r w:rsidRPr="00804CB7">
        <w:rPr>
          <w:rFonts w:ascii="David" w:hAnsi="David" w:cs="David"/>
          <w:b/>
          <w:bCs/>
          <w:noProof/>
          <w:sz w:val="32"/>
          <w:szCs w:val="32"/>
          <w:rtl/>
        </w:rPr>
        <w:t>מ</w:t>
      </w:r>
      <w:r w:rsidRPr="00804CB7">
        <w:rPr>
          <w:rFonts w:ascii="David" w:hAnsi="David" w:cs="David" w:hint="cs"/>
          <w:b/>
          <w:bCs/>
          <w:noProof/>
          <w:sz w:val="32"/>
          <w:szCs w:val="32"/>
          <w:rtl/>
        </w:rPr>
        <w:t xml:space="preserve">ונטוידיאו, אורוגואי     </w:t>
      </w:r>
      <w:r w:rsidRPr="00804CB7">
        <w:rPr>
          <w:rFonts w:ascii="David" w:hAnsi="David" w:cs="David" w:hint="cs"/>
          <w:b/>
          <w:bCs/>
          <w:noProof/>
          <w:sz w:val="32"/>
          <w:szCs w:val="32"/>
          <w:rtl/>
        </w:rPr>
        <w:tab/>
        <w:t xml:space="preserve">           </w:t>
      </w:r>
      <w:r w:rsidRPr="00804CB7">
        <w:rPr>
          <w:rFonts w:ascii="David" w:hAnsi="David" w:cs="David"/>
          <w:b/>
          <w:bCs/>
          <w:noProof/>
          <w:sz w:val="32"/>
          <w:szCs w:val="32"/>
          <w:rtl/>
        </w:rPr>
        <w:tab/>
      </w:r>
      <w:r w:rsidRPr="00804CB7">
        <w:rPr>
          <w:rFonts w:ascii="David" w:hAnsi="David" w:cs="David"/>
          <w:b/>
          <w:bCs/>
          <w:noProof/>
          <w:sz w:val="32"/>
          <w:szCs w:val="32"/>
          <w:rtl/>
        </w:rPr>
        <w:tab/>
      </w:r>
      <w:r w:rsidRPr="00804CB7">
        <w:rPr>
          <w:rFonts w:ascii="David" w:hAnsi="David" w:cs="David"/>
          <w:b/>
          <w:bCs/>
          <w:noProof/>
          <w:sz w:val="32"/>
          <w:szCs w:val="32"/>
          <w:rtl/>
        </w:rPr>
        <w:tab/>
      </w:r>
      <w:r w:rsidRPr="00804CB7">
        <w:rPr>
          <w:rFonts w:ascii="David" w:hAnsi="David" w:cs="David"/>
          <w:b/>
          <w:bCs/>
          <w:noProof/>
          <w:sz w:val="32"/>
          <w:szCs w:val="32"/>
          <w:rtl/>
        </w:rPr>
        <w:tab/>
      </w:r>
      <w:r w:rsidRPr="00804CB7">
        <w:rPr>
          <w:rFonts w:ascii="David" w:hAnsi="David" w:cs="David" w:hint="cs"/>
          <w:b/>
          <w:bCs/>
          <w:noProof/>
          <w:sz w:val="32"/>
          <w:szCs w:val="32"/>
          <w:rtl/>
        </w:rPr>
        <w:t xml:space="preserve">             </w:t>
      </w:r>
      <w:r>
        <w:rPr>
          <w:rFonts w:ascii="David" w:hAnsi="David" w:cs="David" w:hint="cs"/>
          <w:b/>
          <w:bCs/>
          <w:noProof/>
          <w:sz w:val="32"/>
          <w:szCs w:val="32"/>
          <w:rtl/>
        </w:rPr>
        <w:t xml:space="preserve">    </w:t>
      </w:r>
      <w:r w:rsidRPr="00804CB7">
        <w:rPr>
          <w:rFonts w:ascii="David" w:hAnsi="David" w:cs="David" w:hint="cs"/>
          <w:b/>
          <w:bCs/>
          <w:noProof/>
          <w:sz w:val="32"/>
          <w:szCs w:val="32"/>
          <w:rtl/>
        </w:rPr>
        <w:t xml:space="preserve">     </w:t>
      </w:r>
      <w:r w:rsidRPr="00804CB7">
        <w:rPr>
          <w:rFonts w:ascii="David" w:hAnsi="David" w:cs="David"/>
          <w:b/>
          <w:bCs/>
          <w:noProof/>
          <w:sz w:val="32"/>
          <w:szCs w:val="32"/>
        </w:rPr>
        <w:t>Montevideo, Uruguay</w:t>
      </w:r>
    </w:p>
    <w:p w14:paraId="4CBC4E21"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מ</w:t>
      </w:r>
      <w:r w:rsidRPr="00804CB7">
        <w:rPr>
          <w:rFonts w:ascii="David" w:hAnsi="David" w:cs="David" w:hint="cs"/>
          <w:noProof/>
          <w:rtl/>
        </w:rPr>
        <w:t>נחם אב, ה'ת</w:t>
      </w:r>
      <w:r w:rsidRPr="00804CB7">
        <w:rPr>
          <w:rFonts w:ascii="David" w:hAnsi="David" w:cs="David"/>
          <w:noProof/>
          <w:rtl/>
        </w:rPr>
        <w:t>ש</w:t>
      </w:r>
      <w:r w:rsidRPr="00804CB7">
        <w:rPr>
          <w:rFonts w:ascii="David" w:hAnsi="David" w:cs="David" w:hint="cs"/>
          <w:noProof/>
          <w:rtl/>
        </w:rPr>
        <w:t>נ"ה</w:t>
      </w:r>
    </w:p>
    <w:p w14:paraId="6F0E24E6" w14:textId="77777777" w:rsidR="00804CB7" w:rsidRPr="00804CB7" w:rsidRDefault="00804CB7" w:rsidP="00804CB7">
      <w:pPr>
        <w:widowControl w:val="0"/>
        <w:autoSpaceDE w:val="0"/>
        <w:autoSpaceDN w:val="0"/>
        <w:adjustRightInd w:val="0"/>
        <w:contextualSpacing/>
        <w:rPr>
          <w:rFonts w:ascii="David" w:hAnsi="David" w:cs="David"/>
          <w:noProof/>
          <w:rtl/>
        </w:rPr>
      </w:pPr>
    </w:p>
    <w:p w14:paraId="0CAA6E63" w14:textId="77777777" w:rsidR="00804CB7" w:rsidRPr="00804CB7" w:rsidRDefault="00804CB7" w:rsidP="00804CB7">
      <w:pPr>
        <w:widowControl w:val="0"/>
        <w:autoSpaceDE w:val="0"/>
        <w:autoSpaceDN w:val="0"/>
        <w:adjustRightInd w:val="0"/>
        <w:contextualSpacing/>
        <w:rPr>
          <w:rFonts w:ascii="David" w:hAnsi="David" w:cs="David"/>
          <w:b/>
          <w:bCs/>
          <w:color w:val="0070C0"/>
          <w:kern w:val="2"/>
          <w:sz w:val="30"/>
          <w:szCs w:val="30"/>
          <w:rtl/>
          <w14:ligatures w14:val="standardContextual"/>
        </w:rPr>
      </w:pPr>
      <w:r w:rsidRPr="00804CB7">
        <w:rPr>
          <w:rFonts w:ascii="David" w:hAnsi="David" w:cs="David" w:hint="cs"/>
          <w:b/>
          <w:bCs/>
          <w:color w:val="0070C0"/>
          <w:kern w:val="2"/>
          <w:sz w:val="30"/>
          <w:szCs w:val="30"/>
          <w:rtl/>
          <w14:ligatures w14:val="standardContextual"/>
        </w:rPr>
        <w:t>פינוי מקבר בבית קברות מעורב עם נכרים לבית קברות יהודי</w:t>
      </w:r>
    </w:p>
    <w:p w14:paraId="015995EC" w14:textId="77777777" w:rsidR="00804CB7" w:rsidRPr="00804CB7" w:rsidRDefault="00804CB7" w:rsidP="00804CB7">
      <w:pPr>
        <w:widowControl w:val="0"/>
        <w:autoSpaceDE w:val="0"/>
        <w:autoSpaceDN w:val="0"/>
        <w:adjustRightInd w:val="0"/>
        <w:contextualSpacing/>
        <w:rPr>
          <w:rFonts w:ascii="David" w:hAnsi="David" w:cs="David"/>
          <w:b/>
          <w:bCs/>
          <w:noProof/>
          <w:rtl/>
        </w:rPr>
      </w:pPr>
    </w:p>
    <w:p w14:paraId="64D93CEC" w14:textId="77777777" w:rsidR="00804CB7" w:rsidRPr="00804CB7" w:rsidRDefault="00804CB7" w:rsidP="00804CB7">
      <w:pPr>
        <w:widowControl w:val="0"/>
        <w:autoSpaceDE w:val="0"/>
        <w:autoSpaceDN w:val="0"/>
        <w:adjustRightInd w:val="0"/>
        <w:contextualSpacing/>
        <w:rPr>
          <w:rFonts w:ascii="David" w:hAnsi="David" w:cs="David"/>
          <w:b/>
          <w:bCs/>
          <w:noProof/>
          <w:sz w:val="26"/>
          <w:szCs w:val="26"/>
          <w:rtl/>
        </w:rPr>
      </w:pPr>
      <w:r w:rsidRPr="00804CB7">
        <w:rPr>
          <w:rFonts w:ascii="David" w:hAnsi="David" w:cs="David"/>
          <w:b/>
          <w:bCs/>
          <w:noProof/>
          <w:sz w:val="26"/>
          <w:szCs w:val="26"/>
          <w:rtl/>
        </w:rPr>
        <w:t>ש</w:t>
      </w:r>
      <w:r w:rsidRPr="00804CB7">
        <w:rPr>
          <w:rFonts w:ascii="David" w:hAnsi="David" w:cs="David" w:hint="cs"/>
          <w:b/>
          <w:bCs/>
          <w:noProof/>
          <w:sz w:val="26"/>
          <w:szCs w:val="26"/>
          <w:rtl/>
        </w:rPr>
        <w:t>אלה</w:t>
      </w:r>
    </w:p>
    <w:p w14:paraId="7D0320CB"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ב</w:t>
      </w:r>
      <w:r w:rsidRPr="00804CB7">
        <w:rPr>
          <w:rFonts w:ascii="David" w:hAnsi="David" w:cs="David" w:hint="cs"/>
          <w:noProof/>
          <w:rtl/>
        </w:rPr>
        <w:t>עירנו שני בתי קברות האחד של הקהילה היהודית ובו נקברים יהודים בלבד. השני של בית החולים היהודי ושם נקברים גם כאלה שאינם יהודים.</w:t>
      </w:r>
    </w:p>
    <w:p w14:paraId="7C0E0919"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א</w:t>
      </w:r>
      <w:r w:rsidRPr="00804CB7">
        <w:rPr>
          <w:rFonts w:ascii="David" w:hAnsi="David" w:cs="David" w:hint="cs"/>
          <w:noProof/>
          <w:rtl/>
        </w:rPr>
        <w:t>שה אחת נקברה בבית הקברות של בית החולים. משפחתה של האשה מוט</w:t>
      </w:r>
      <w:r w:rsidRPr="00804CB7">
        <w:rPr>
          <w:rFonts w:ascii="David" w:hAnsi="David" w:cs="David"/>
          <w:noProof/>
          <w:rtl/>
        </w:rPr>
        <w:t>ר</w:t>
      </w:r>
      <w:r w:rsidRPr="00804CB7">
        <w:rPr>
          <w:rFonts w:ascii="David" w:hAnsi="David" w:cs="David" w:hint="cs"/>
          <w:noProof/>
          <w:rtl/>
        </w:rPr>
        <w:t>דת מאוד מן הענין ואינה מוצאת מנוחה לנפשה עקב מקום קבורתה של קרובתם.</w:t>
      </w:r>
    </w:p>
    <w:p w14:paraId="417FFFF0"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ה</w:t>
      </w:r>
      <w:r w:rsidRPr="00804CB7">
        <w:rPr>
          <w:rFonts w:ascii="David" w:hAnsi="David" w:cs="David" w:hint="cs"/>
          <w:noProof/>
          <w:rtl/>
        </w:rPr>
        <w:t>משפחה לוחצת מאוד לפנות את עצמות הנפטרת לבית הקברות של הקהילה.</w:t>
      </w:r>
    </w:p>
    <w:p w14:paraId="668A7DC4"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ל</w:t>
      </w:r>
      <w:r w:rsidRPr="00804CB7">
        <w:rPr>
          <w:rFonts w:ascii="David" w:hAnsi="David" w:cs="David" w:hint="cs"/>
          <w:noProof/>
          <w:rtl/>
        </w:rPr>
        <w:t xml:space="preserve">השלמת התמונה נוסיף כי בעירנו כולם נקברים בארון, עדיין לא עברו שנים עשר חודשים מיום הקבורה, בני המשפחה מתחייבים לקנות אף הם </w:t>
      </w:r>
      <w:r w:rsidRPr="00804CB7">
        <w:rPr>
          <w:rFonts w:ascii="David" w:hAnsi="David" w:cs="David"/>
          <w:noProof/>
          <w:rtl/>
        </w:rPr>
        <w:t>ח</w:t>
      </w:r>
      <w:r w:rsidRPr="00804CB7">
        <w:rPr>
          <w:rFonts w:ascii="David" w:hAnsi="David" w:cs="David" w:hint="cs"/>
          <w:noProof/>
          <w:rtl/>
        </w:rPr>
        <w:t>לקות בבית הקברות של הקהילה כך שלעתיד יהיה בית הקברות הזה בבחינת קברי אבות.</w:t>
      </w:r>
    </w:p>
    <w:p w14:paraId="6A07B166" w14:textId="77777777" w:rsidR="00804CB7" w:rsidRPr="00804CB7" w:rsidRDefault="00804CB7" w:rsidP="00804CB7">
      <w:pPr>
        <w:widowControl w:val="0"/>
        <w:autoSpaceDE w:val="0"/>
        <w:autoSpaceDN w:val="0"/>
        <w:adjustRightInd w:val="0"/>
        <w:contextualSpacing/>
        <w:rPr>
          <w:rFonts w:ascii="David" w:hAnsi="David" w:cs="David"/>
          <w:noProof/>
          <w:rtl/>
        </w:rPr>
      </w:pPr>
      <w:r w:rsidRPr="00804CB7">
        <w:rPr>
          <w:rFonts w:ascii="David" w:hAnsi="David" w:cs="David"/>
          <w:noProof/>
          <w:rtl/>
        </w:rPr>
        <w:t>ה</w:t>
      </w:r>
      <w:r w:rsidRPr="00804CB7">
        <w:rPr>
          <w:rFonts w:ascii="David" w:hAnsi="David" w:cs="David" w:hint="cs"/>
          <w:noProof/>
          <w:rtl/>
        </w:rPr>
        <w:t>אם יש מקום להענות לבקשת המשפחה?</w:t>
      </w:r>
    </w:p>
    <w:p w14:paraId="442D9728" w14:textId="77777777" w:rsidR="00804CB7" w:rsidRPr="00804CB7" w:rsidRDefault="00804CB7" w:rsidP="00804CB7">
      <w:pPr>
        <w:widowControl w:val="0"/>
        <w:autoSpaceDE w:val="0"/>
        <w:autoSpaceDN w:val="0"/>
        <w:adjustRightInd w:val="0"/>
        <w:contextualSpacing/>
        <w:rPr>
          <w:rFonts w:ascii="David" w:hAnsi="David" w:cs="David"/>
          <w:noProof/>
          <w:rtl/>
        </w:rPr>
      </w:pPr>
    </w:p>
    <w:p w14:paraId="240CB219" w14:textId="77777777" w:rsidR="00804CB7" w:rsidRPr="00804CB7" w:rsidRDefault="00804CB7" w:rsidP="00804CB7">
      <w:pPr>
        <w:widowControl w:val="0"/>
        <w:autoSpaceDE w:val="0"/>
        <w:autoSpaceDN w:val="0"/>
        <w:adjustRightInd w:val="0"/>
        <w:contextualSpacing/>
        <w:rPr>
          <w:rFonts w:ascii="David" w:hAnsi="David" w:cs="David"/>
          <w:b/>
          <w:bCs/>
          <w:noProof/>
          <w:sz w:val="26"/>
          <w:szCs w:val="26"/>
          <w:rtl/>
        </w:rPr>
      </w:pPr>
      <w:r w:rsidRPr="00804CB7">
        <w:rPr>
          <w:rFonts w:ascii="David" w:hAnsi="David" w:cs="David"/>
          <w:b/>
          <w:bCs/>
          <w:noProof/>
          <w:sz w:val="26"/>
          <w:szCs w:val="26"/>
          <w:rtl/>
        </w:rPr>
        <w:t>ת</w:t>
      </w:r>
      <w:r w:rsidRPr="00804CB7">
        <w:rPr>
          <w:rFonts w:ascii="David" w:hAnsi="David" w:cs="David" w:hint="cs"/>
          <w:b/>
          <w:bCs/>
          <w:noProof/>
          <w:sz w:val="26"/>
          <w:szCs w:val="26"/>
          <w:rtl/>
        </w:rPr>
        <w:t>שובה</w:t>
      </w:r>
    </w:p>
    <w:p w14:paraId="16193763" w14:textId="77777777" w:rsidR="00804CB7" w:rsidRPr="00804CB7" w:rsidRDefault="00804CB7" w:rsidP="00804CB7">
      <w:pPr>
        <w:widowControl w:val="0"/>
        <w:autoSpaceDE w:val="0"/>
        <w:autoSpaceDN w:val="0"/>
        <w:adjustRightInd w:val="0"/>
        <w:contextualSpacing/>
        <w:rPr>
          <w:rFonts w:ascii="David" w:hAnsi="David" w:cs="David"/>
          <w:noProof/>
        </w:rPr>
      </w:pPr>
      <w:r w:rsidRPr="00804CB7">
        <w:rPr>
          <w:rFonts w:ascii="David" w:hAnsi="David" w:cs="David"/>
          <w:noProof/>
          <w:rtl/>
        </w:rPr>
        <w:t>א</w:t>
      </w:r>
      <w:r w:rsidRPr="00804CB7">
        <w:rPr>
          <w:rFonts w:ascii="David" w:hAnsi="David" w:cs="David" w:hint="cs"/>
          <w:noProof/>
          <w:rtl/>
        </w:rPr>
        <w:t>שה אשר נקברה בארון בבית הקברות שליד בית-החולים היהודי, אשר בו קבורים בעירבוביה יהודים ושאינם יהודים, ובקשו בני משפחתה לפנותה</w:t>
      </w:r>
      <w:r w:rsidRPr="00804CB7">
        <w:rPr>
          <w:rFonts w:ascii="David" w:hAnsi="David" w:cs="David" w:hint="cs"/>
          <w:noProof/>
          <w:vertAlign w:val="superscript"/>
          <w:rtl/>
          <w:lang w:eastAsia="he-IL"/>
        </w:rPr>
        <w:t>1</w:t>
      </w:r>
      <w:r w:rsidRPr="00804CB7">
        <w:rPr>
          <w:rFonts w:ascii="David" w:hAnsi="David" w:cs="David" w:hint="cs"/>
          <w:noProof/>
          <w:rtl/>
        </w:rPr>
        <w:t xml:space="preserve"> משם לבית הקבר</w:t>
      </w:r>
      <w:r w:rsidRPr="00804CB7">
        <w:rPr>
          <w:rFonts w:ascii="David" w:hAnsi="David" w:cs="David"/>
          <w:noProof/>
          <w:rtl/>
        </w:rPr>
        <w:t>ו</w:t>
      </w:r>
      <w:r w:rsidRPr="00804CB7">
        <w:rPr>
          <w:rFonts w:ascii="David" w:hAnsi="David" w:cs="David" w:hint="cs"/>
          <w:noProof/>
          <w:rtl/>
        </w:rPr>
        <w:t>ת היהודי שבו קבורים  יהודים בלבד, יש מקום להתיר הפינוי</w:t>
      </w:r>
      <w:r w:rsidRPr="00804CB7">
        <w:rPr>
          <w:rFonts w:ascii="David" w:hAnsi="David" w:cs="David" w:hint="cs"/>
          <w:noProof/>
          <w:vertAlign w:val="superscript"/>
          <w:rtl/>
          <w:lang w:eastAsia="he-IL"/>
        </w:rPr>
        <w:t>2</w:t>
      </w:r>
      <w:r w:rsidRPr="00804CB7">
        <w:rPr>
          <w:rFonts w:ascii="David" w:hAnsi="David" w:cs="David" w:hint="cs"/>
          <w:noProof/>
          <w:rtl/>
        </w:rPr>
        <w:t>, ובתנאי שבני משפחתה יקנו מקודם חלקה בבית הקברות היהודי, שתהיה מיועדת רק לבני המשפחה</w:t>
      </w:r>
      <w:r w:rsidRPr="00804CB7">
        <w:rPr>
          <w:rFonts w:ascii="David" w:hAnsi="David" w:cs="David" w:hint="cs"/>
          <w:noProof/>
          <w:vertAlign w:val="superscript"/>
          <w:rtl/>
          <w:lang w:eastAsia="he-IL"/>
        </w:rPr>
        <w:t>3</w:t>
      </w:r>
      <w:r w:rsidRPr="00804CB7">
        <w:rPr>
          <w:rFonts w:ascii="David" w:hAnsi="David" w:cs="David" w:hint="cs"/>
          <w:noProof/>
          <w:rtl/>
        </w:rPr>
        <w:t>.</w:t>
      </w:r>
    </w:p>
    <w:p w14:paraId="606E7D52" w14:textId="77777777" w:rsidR="00804CB7" w:rsidRPr="00804CB7" w:rsidRDefault="00804CB7" w:rsidP="00804CB7">
      <w:pPr>
        <w:contextualSpacing/>
        <w:rPr>
          <w:rFonts w:ascii="David" w:hAnsi="David" w:cs="David"/>
          <w:noProof/>
          <w:rtl/>
          <w:lang w:eastAsia="he-IL"/>
        </w:rPr>
      </w:pPr>
    </w:p>
    <w:p w14:paraId="09CAA103" w14:textId="77777777" w:rsidR="00804CB7" w:rsidRPr="00804CB7" w:rsidRDefault="00804CB7" w:rsidP="00804CB7">
      <w:pPr>
        <w:contextualSpacing/>
        <w:rPr>
          <w:rFonts w:ascii="David" w:hAnsi="David" w:cs="David"/>
          <w:noProof/>
          <w:sz w:val="10"/>
          <w:szCs w:val="10"/>
          <w:rtl/>
          <w:lang w:eastAsia="he-IL"/>
        </w:rPr>
      </w:pPr>
      <w:r w:rsidRPr="00804CB7">
        <w:rPr>
          <w:rFonts w:ascii="David" w:hAnsi="David" w:cs="David" w:hint="cs"/>
          <w:noProof/>
          <w:sz w:val="10"/>
          <w:szCs w:val="10"/>
          <w:rtl/>
          <w:lang w:eastAsia="he-IL"/>
        </w:rPr>
        <w:t>_________________________________________________________</w:t>
      </w:r>
    </w:p>
    <w:p w14:paraId="3D8FAAFC" w14:textId="77777777" w:rsidR="00804CB7" w:rsidRPr="00804CB7" w:rsidRDefault="00804CB7" w:rsidP="00804CB7">
      <w:pPr>
        <w:contextualSpacing/>
        <w:rPr>
          <w:rFonts w:ascii="David" w:hAnsi="David" w:cs="David"/>
          <w:noProof/>
          <w:sz w:val="10"/>
          <w:szCs w:val="10"/>
          <w:rtl/>
          <w:lang w:eastAsia="he-IL"/>
        </w:rPr>
      </w:pPr>
    </w:p>
    <w:p w14:paraId="4B9F568B" w14:textId="77777777" w:rsidR="00804CB7" w:rsidRPr="00804CB7" w:rsidRDefault="00804CB7" w:rsidP="00804CB7">
      <w:pPr>
        <w:widowControl w:val="0"/>
        <w:autoSpaceDE w:val="0"/>
        <w:autoSpaceDN w:val="0"/>
        <w:adjustRightInd w:val="0"/>
        <w:ind w:left="141" w:hanging="141"/>
        <w:contextualSpacing/>
        <w:rPr>
          <w:rFonts w:ascii="David" w:hAnsi="David" w:cs="David"/>
          <w:noProof/>
          <w:sz w:val="22"/>
          <w:szCs w:val="22"/>
          <w:rtl/>
        </w:rPr>
      </w:pPr>
      <w:r w:rsidRPr="00804CB7">
        <w:rPr>
          <w:rFonts w:ascii="David" w:hAnsi="David" w:cs="David"/>
          <w:noProof/>
          <w:sz w:val="22"/>
          <w:szCs w:val="22"/>
          <w:vertAlign w:val="superscript"/>
        </w:rPr>
        <w:footnoteRef/>
      </w:r>
      <w:r w:rsidRPr="00804CB7">
        <w:rPr>
          <w:rFonts w:ascii="David" w:hAnsi="David" w:cs="David" w:hint="cs"/>
          <w:noProof/>
          <w:sz w:val="22"/>
          <w:szCs w:val="22"/>
          <w:rtl/>
        </w:rPr>
        <w:t xml:space="preserve"> </w:t>
      </w:r>
      <w:r w:rsidRPr="00804CB7">
        <w:rPr>
          <w:rFonts w:ascii="David" w:hAnsi="David" w:cs="David"/>
          <w:noProof/>
          <w:sz w:val="22"/>
          <w:szCs w:val="22"/>
          <w:rtl/>
        </w:rPr>
        <w:tab/>
        <w:t>ב</w:t>
      </w:r>
      <w:r w:rsidRPr="00804CB7">
        <w:rPr>
          <w:rFonts w:ascii="David" w:hAnsi="David" w:cs="David" w:hint="cs"/>
          <w:noProof/>
          <w:sz w:val="22"/>
          <w:szCs w:val="22"/>
          <w:rtl/>
        </w:rPr>
        <w:t>איסור פינוי מת מקברו נזכרו טעמים מספר:</w:t>
      </w:r>
    </w:p>
    <w:p w14:paraId="3AC7F9E6"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א</w:t>
      </w:r>
      <w:r w:rsidRPr="00804CB7">
        <w:rPr>
          <w:rFonts w:ascii="David" w:hAnsi="David" w:cs="David" w:hint="cs"/>
          <w:noProof/>
          <w:sz w:val="22"/>
          <w:szCs w:val="22"/>
          <w:rtl/>
        </w:rPr>
        <w:t xml:space="preserve">. משום ניוול. מקורו גמרא בבא-תרא (קנד ע"ב), "שאלו את רבי עקיבא </w:t>
      </w:r>
      <w:r w:rsidRPr="00804CB7">
        <w:rPr>
          <w:rFonts w:ascii="David" w:hAnsi="David" w:cs="David"/>
          <w:noProof/>
          <w:sz w:val="22"/>
          <w:szCs w:val="22"/>
          <w:rtl/>
        </w:rPr>
        <w:t xml:space="preserve">- </w:t>
      </w:r>
      <w:r w:rsidRPr="00804CB7">
        <w:rPr>
          <w:rFonts w:ascii="David" w:hAnsi="David" w:cs="David" w:hint="cs"/>
          <w:noProof/>
          <w:sz w:val="22"/>
          <w:szCs w:val="22"/>
          <w:rtl/>
        </w:rPr>
        <w:t>מהו לבודקו? (דהיינו לפתוח הקבר, ולבדוק המת אם הביא סימני-בגרות בחייו). אמר להם, "אי אתם רשאים לנוולו". ופירשו: "לראות בושתו". וכ</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ב"נודע ביהוד" (מהד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קמא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קסד) "כי לדעתי הניוול נוגע גם לחיים שרואין סוף האדם לניוול כזה". ונזכר בכמה אחרונים שאיסור הניוול הוא מדאורייתא. וכתב בשו"ת "חכם-צבי"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נ) שדווקא טלטול גופת המת או עצמותיו גורם לניוול, אבל בארון סגור ליכא ניוול.</w:t>
      </w:r>
    </w:p>
    <w:p w14:paraId="24CAB982"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ב</w:t>
      </w:r>
      <w:r w:rsidRPr="00804CB7">
        <w:rPr>
          <w:rFonts w:ascii="David" w:hAnsi="David" w:cs="David" w:hint="cs"/>
          <w:noProof/>
          <w:sz w:val="22"/>
          <w:szCs w:val="22"/>
          <w:rtl/>
        </w:rPr>
        <w:t>. משום חרדת הדין.</w:t>
      </w:r>
      <w:r w:rsidRPr="00804CB7">
        <w:rPr>
          <w:rFonts w:ascii="David" w:hAnsi="David" w:cs="David"/>
          <w:noProof/>
          <w:sz w:val="22"/>
          <w:szCs w:val="22"/>
          <w:rtl/>
        </w:rPr>
        <w:t xml:space="preserve"> "</w:t>
      </w:r>
      <w:r w:rsidRPr="00804CB7">
        <w:rPr>
          <w:rFonts w:ascii="David" w:hAnsi="David" w:cs="David" w:hint="cs"/>
          <w:noProof/>
          <w:sz w:val="22"/>
          <w:szCs w:val="22"/>
          <w:rtl/>
        </w:rPr>
        <w:t>בית יוסף" כתב בשם ה"כלבו" (טור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שסב), "לפי שהבלבול קשה להמתים, לפי  שמתייראין מן הדין", וזכר לדבר </w:t>
      </w:r>
      <w:r w:rsidRPr="00804CB7">
        <w:rPr>
          <w:rFonts w:ascii="David" w:hAnsi="David" w:cs="David"/>
          <w:noProof/>
          <w:sz w:val="22"/>
          <w:szCs w:val="22"/>
          <w:rtl/>
        </w:rPr>
        <w:t>- "</w:t>
      </w:r>
      <w:r w:rsidRPr="00804CB7">
        <w:rPr>
          <w:rFonts w:ascii="David" w:hAnsi="David" w:cs="David" w:hint="cs"/>
          <w:noProof/>
          <w:sz w:val="22"/>
          <w:szCs w:val="22"/>
          <w:rtl/>
        </w:rPr>
        <w:t>ישנתי, אז ינוח לי" (איוב ג, יג) ובשמואל א</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(כח, טו) "למה הרגזתני להעלות אֹתי". ובשו"ת "נודע ביהודה" (מהד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קמא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פט) כתב שטעם זה קי</w:t>
      </w:r>
      <w:r w:rsidRPr="00804CB7">
        <w:rPr>
          <w:rFonts w:ascii="David" w:hAnsi="David" w:cs="David"/>
          <w:noProof/>
          <w:sz w:val="22"/>
          <w:szCs w:val="22"/>
          <w:rtl/>
        </w:rPr>
        <w:t>י</w:t>
      </w:r>
      <w:r w:rsidRPr="00804CB7">
        <w:rPr>
          <w:rFonts w:ascii="David" w:hAnsi="David" w:cs="David" w:hint="cs"/>
          <w:noProof/>
          <w:sz w:val="22"/>
          <w:szCs w:val="22"/>
          <w:rtl/>
        </w:rPr>
        <w:t>ם דווקא כל עוד לא נתעכל הבשר, אבל אחר כך ליכא.</w:t>
      </w:r>
    </w:p>
    <w:p w14:paraId="103B789C"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א</w:t>
      </w:r>
      <w:r w:rsidRPr="00804CB7">
        <w:rPr>
          <w:rFonts w:ascii="David" w:hAnsi="David" w:cs="David" w:hint="cs"/>
          <w:noProof/>
          <w:sz w:val="22"/>
          <w:szCs w:val="22"/>
          <w:rtl/>
        </w:rPr>
        <w:t>מנם בשו"ת "פרשת מרדכי"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כד) השיג על ה"נודע ביהודה" וכתב שאף בעצמות, לאחר שנתעכל הבשר, איכא חרדת הדין, וכ"כ בשו"ת "שיבת ציון"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סג) ובשו"ת "עין </w:t>
      </w:r>
      <w:smartTag w:uri="urn:schemas-microsoft-com:office:smarttags" w:element="PersonName">
        <w:r w:rsidRPr="00804CB7">
          <w:rPr>
            <w:rFonts w:ascii="David" w:hAnsi="David" w:cs="David" w:hint="cs"/>
            <w:noProof/>
            <w:sz w:val="22"/>
            <w:szCs w:val="22"/>
            <w:rtl/>
          </w:rPr>
          <w:t>יצחק</w:t>
        </w:r>
      </w:smartTag>
      <w:r w:rsidRPr="00804CB7">
        <w:rPr>
          <w:rFonts w:ascii="David" w:hAnsi="David" w:cs="David" w:hint="cs"/>
          <w:noProof/>
          <w:sz w:val="22"/>
          <w:szCs w:val="22"/>
          <w:rtl/>
        </w:rPr>
        <w:t>" (חלק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לד). והביאו ראיה מלשון השו"ע (יור</w:t>
      </w:r>
      <w:r w:rsidRPr="00804CB7">
        <w:rPr>
          <w:rFonts w:ascii="David" w:hAnsi="David" w:cs="David"/>
          <w:noProof/>
          <w:sz w:val="22"/>
          <w:szCs w:val="22"/>
          <w:rtl/>
        </w:rPr>
        <w:t>ה</w:t>
      </w:r>
      <w:r w:rsidRPr="00804CB7">
        <w:rPr>
          <w:rFonts w:ascii="David" w:hAnsi="David" w:cs="David" w:hint="cs"/>
          <w:noProof/>
          <w:sz w:val="22"/>
          <w:szCs w:val="22"/>
          <w:rtl/>
        </w:rPr>
        <w:t xml:space="preserve">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שסג סעיף א) "אין מפנין המת והעצמות", ומקורו בירושלמי (מועד קטן סוף פרק ב</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ומשמע שהאיסור הוא אף על העצמות ללא הבשר, ובש"ך ובט"ז כתבו שטעם האיסור משום חרדת הדין, ועיין בשו"ת "ציץ אליעזר" (חלק 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 ס"ק ג-ס"ק ט) שהאריך בענין זה. ובשו"ת מהר"ם שיק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שנד) כתב שלאחר י"ב חודש כבר אין לחוש לחרדת הדין, אך ברבים מספרי השו"ת של אחרונים חלקו עליו, אם במפורש ואם במשמע מדבריהם, שדנו על חרדת הדין אף לאחר מאות שנים.</w:t>
      </w:r>
    </w:p>
    <w:p w14:paraId="548EBDFB"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ג</w:t>
      </w:r>
      <w:r w:rsidRPr="00804CB7">
        <w:rPr>
          <w:rFonts w:ascii="David" w:hAnsi="David" w:cs="David" w:hint="cs"/>
          <w:noProof/>
          <w:sz w:val="22"/>
          <w:szCs w:val="22"/>
          <w:rtl/>
        </w:rPr>
        <w:t>. רא"ש במסכת מועד קטן (פרק א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יג) כתב "גנאי גדול הוא למת לפנותו מקבר לקבר קודם </w:t>
      </w:r>
      <w:r w:rsidRPr="00804CB7">
        <w:rPr>
          <w:rFonts w:ascii="David" w:hAnsi="David" w:cs="David"/>
          <w:noProof/>
          <w:sz w:val="22"/>
          <w:szCs w:val="22"/>
          <w:rtl/>
        </w:rPr>
        <w:t>ש</w:t>
      </w:r>
      <w:r w:rsidRPr="00804CB7">
        <w:rPr>
          <w:rFonts w:ascii="David" w:hAnsi="David" w:cs="David" w:hint="cs"/>
          <w:noProof/>
          <w:sz w:val="22"/>
          <w:szCs w:val="22"/>
          <w:rtl/>
        </w:rPr>
        <w:t>נתעכל הבשר", ואין זה מטעם ניוול, דניוול איכא גם אחר עיכול הבשר, אלא נראה שכוונתו לבזיון המת מפני סרחון הבשר. ואפשר לצרף לזה מה שכתב בשו"ת "ציץ אליעזר" (ח"ה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 ס"ק יב) שהביא מן הנפסק בשו"ע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תג סע</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ט-י) שאסור לנהוג מנהג בזיון בעצמות.</w:t>
      </w:r>
    </w:p>
    <w:p w14:paraId="031B20B3"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ד</w:t>
      </w:r>
      <w:r w:rsidRPr="00804CB7">
        <w:rPr>
          <w:rFonts w:ascii="David" w:hAnsi="David" w:cs="David" w:hint="cs"/>
          <w:noProof/>
          <w:sz w:val="22"/>
          <w:szCs w:val="22"/>
          <w:rtl/>
        </w:rPr>
        <w:t>. מהר"</w:t>
      </w:r>
      <w:r w:rsidRPr="00804CB7">
        <w:rPr>
          <w:rFonts w:ascii="David" w:hAnsi="David" w:cs="David"/>
          <w:noProof/>
          <w:sz w:val="22"/>
          <w:szCs w:val="22"/>
          <w:rtl/>
        </w:rPr>
        <w:t>ם</w:t>
      </w:r>
      <w:r w:rsidRPr="00804CB7">
        <w:rPr>
          <w:rFonts w:ascii="David" w:hAnsi="David" w:cs="David" w:hint="cs"/>
          <w:noProof/>
          <w:sz w:val="22"/>
          <w:szCs w:val="22"/>
          <w:rtl/>
        </w:rPr>
        <w:t xml:space="preserve"> שיק (חלק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שנד-שנה) כתב טעם חדש, והוא "חזקת מקום", בדומה למה שאמרו חז"ל בקרשי המשכן </w:t>
      </w:r>
      <w:r w:rsidRPr="00804CB7">
        <w:rPr>
          <w:rFonts w:ascii="David" w:hAnsi="David" w:cs="David"/>
          <w:noProof/>
          <w:sz w:val="22"/>
          <w:szCs w:val="22"/>
          <w:rtl/>
        </w:rPr>
        <w:t>- "</w:t>
      </w:r>
      <w:r w:rsidRPr="00804CB7">
        <w:rPr>
          <w:rFonts w:ascii="David" w:hAnsi="David" w:cs="David" w:hint="cs"/>
          <w:noProof/>
          <w:sz w:val="22"/>
          <w:szCs w:val="22"/>
          <w:rtl/>
        </w:rPr>
        <w:t>קרש שזכה להיות בצפון, לעולם בצפון" וכו</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w:t>
      </w:r>
    </w:p>
    <w:p w14:paraId="42C236B0"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ה</w:t>
      </w:r>
      <w:r w:rsidRPr="00804CB7">
        <w:rPr>
          <w:rFonts w:ascii="David" w:hAnsi="David" w:cs="David" w:hint="cs"/>
          <w:noProof/>
          <w:sz w:val="22"/>
          <w:szCs w:val="22"/>
          <w:rtl/>
        </w:rPr>
        <w:t>. "נודע ביהודה" (מהד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קמא חלק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פט) הוסיף עוד טעם </w:t>
      </w:r>
      <w:r w:rsidRPr="00804CB7">
        <w:rPr>
          <w:rFonts w:ascii="David" w:hAnsi="David" w:cs="David"/>
          <w:noProof/>
          <w:sz w:val="22"/>
          <w:szCs w:val="22"/>
          <w:rtl/>
        </w:rPr>
        <w:t>- "</w:t>
      </w:r>
      <w:r w:rsidRPr="00804CB7">
        <w:rPr>
          <w:rFonts w:ascii="David" w:hAnsi="David" w:cs="David" w:hint="cs"/>
          <w:noProof/>
          <w:sz w:val="22"/>
          <w:szCs w:val="22"/>
          <w:rtl/>
        </w:rPr>
        <w:t>נכון שלא לגרום אבלות לקרובים בליקוט העצמות, שנפטרי</w:t>
      </w:r>
      <w:r w:rsidRPr="00804CB7">
        <w:rPr>
          <w:rFonts w:ascii="David" w:hAnsi="David" w:cs="David"/>
          <w:noProof/>
          <w:sz w:val="22"/>
          <w:szCs w:val="22"/>
          <w:rtl/>
        </w:rPr>
        <w:t>ם</w:t>
      </w:r>
      <w:r w:rsidRPr="00804CB7">
        <w:rPr>
          <w:rFonts w:ascii="David" w:hAnsi="David" w:cs="David" w:hint="cs"/>
          <w:noProof/>
          <w:sz w:val="22"/>
          <w:szCs w:val="22"/>
          <w:rtl/>
        </w:rPr>
        <w:t xml:space="preserve"> על-ידי זה מכל קיום מצוות".</w:t>
      </w:r>
    </w:p>
    <w:p w14:paraId="2FB8D89B"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ו</w:t>
      </w:r>
      <w:r w:rsidRPr="00804CB7">
        <w:rPr>
          <w:rFonts w:ascii="David" w:hAnsi="David" w:cs="David" w:hint="cs"/>
          <w:noProof/>
          <w:sz w:val="22"/>
          <w:szCs w:val="22"/>
          <w:rtl/>
        </w:rPr>
        <w:t>. משום הבזיון למתים שנשארים קבורים שם. ומקורו בצוואת ר</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יהודה החסיד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ח), וב"אור זרוע" (הלכות אבלות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תיט). ואולם בשו"ת "תפארת צבי"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נט), הובאו דבריו ב"פתחי-תשובה"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שסג ס"ק א), כתב שאין למנוע פינ</w:t>
      </w:r>
      <w:r w:rsidRPr="00804CB7">
        <w:rPr>
          <w:rFonts w:ascii="David" w:hAnsi="David" w:cs="David"/>
          <w:noProof/>
          <w:sz w:val="22"/>
          <w:szCs w:val="22"/>
          <w:rtl/>
        </w:rPr>
        <w:t>ו</w:t>
      </w:r>
      <w:r w:rsidRPr="00804CB7">
        <w:rPr>
          <w:rFonts w:ascii="David" w:hAnsi="David" w:cs="David" w:hint="cs"/>
          <w:noProof/>
          <w:sz w:val="22"/>
          <w:szCs w:val="22"/>
          <w:rtl/>
        </w:rPr>
        <w:t>י מת לקבר אחר מטעם שנמשך בזיון לנשארים בבית-הקברות הישן, "דאין מחויב לסבול בזיון בשביל חבירו".</w:t>
      </w:r>
    </w:p>
    <w:p w14:paraId="615A748B"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ו</w:t>
      </w:r>
      <w:r w:rsidRPr="00804CB7">
        <w:rPr>
          <w:rFonts w:ascii="David" w:hAnsi="David" w:cs="David" w:hint="cs"/>
          <w:noProof/>
          <w:sz w:val="22"/>
          <w:szCs w:val="22"/>
          <w:rtl/>
        </w:rPr>
        <w:t>עיין עוד ב"ציץ אליעזר" (ח"ה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 שהביא עוד כמה טעמים לאסור, כגון סכנה לחיים, משום שבעוון חטוט קברות באות צרות (שו"ת "שבות יעקב" ושו"ת "דעת כהן"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רג, רד).</w:t>
      </w:r>
    </w:p>
    <w:p w14:paraId="6635E836"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ו</w:t>
      </w:r>
      <w:r w:rsidRPr="00804CB7">
        <w:rPr>
          <w:rFonts w:ascii="David" w:hAnsi="David" w:cs="David" w:hint="cs"/>
          <w:noProof/>
          <w:sz w:val="22"/>
          <w:szCs w:val="22"/>
          <w:rtl/>
        </w:rPr>
        <w:t xml:space="preserve">הנה בנדון דידן נקברה המנוחה בארון, ולפי הנ"ל אין חשש ניוול בפינויה (והוא הטעם העיקרי לאיסור פינוי המת). ואף שהזכרנו טעמים נוספים לאסור, ובראשם חרדת הדין שבאה על נשמת הנפטר, מכל מקום נוכל לצרף כמה טעמים להיתר הפינוי מן הנזכר בש"ס ופוסקים, וכדלקמן בהערה 2 </w:t>
      </w:r>
      <w:r w:rsidRPr="00804CB7">
        <w:rPr>
          <w:rFonts w:ascii="David" w:hAnsi="David" w:cs="David"/>
          <w:noProof/>
          <w:sz w:val="22"/>
          <w:szCs w:val="22"/>
          <w:rtl/>
        </w:rPr>
        <w:t>ו</w:t>
      </w:r>
      <w:r w:rsidRPr="00804CB7">
        <w:rPr>
          <w:rFonts w:ascii="David" w:hAnsi="David" w:cs="David" w:hint="cs"/>
          <w:noProof/>
          <w:sz w:val="22"/>
          <w:szCs w:val="22"/>
          <w:rtl/>
        </w:rPr>
        <w:t>-3.</w:t>
      </w:r>
    </w:p>
    <w:p w14:paraId="3D1A5927" w14:textId="77777777" w:rsidR="00804CB7" w:rsidRPr="00804CB7" w:rsidRDefault="00804CB7" w:rsidP="00804CB7">
      <w:pPr>
        <w:widowControl w:val="0"/>
        <w:autoSpaceDE w:val="0"/>
        <w:autoSpaceDN w:val="0"/>
        <w:adjustRightInd w:val="0"/>
        <w:ind w:left="141" w:hanging="141"/>
        <w:contextualSpacing/>
        <w:rPr>
          <w:rFonts w:ascii="David" w:hAnsi="David" w:cs="David"/>
          <w:noProof/>
          <w:sz w:val="22"/>
          <w:szCs w:val="22"/>
          <w:rtl/>
        </w:rPr>
      </w:pPr>
      <w:r w:rsidRPr="00804CB7">
        <w:rPr>
          <w:rFonts w:ascii="David" w:hAnsi="David" w:cs="David" w:hint="cs"/>
          <w:noProof/>
          <w:sz w:val="22"/>
          <w:szCs w:val="22"/>
          <w:vertAlign w:val="superscript"/>
          <w:rtl/>
        </w:rPr>
        <w:t xml:space="preserve">2 </w:t>
      </w:r>
      <w:r w:rsidRPr="00804CB7">
        <w:rPr>
          <w:rFonts w:ascii="David" w:hAnsi="David" w:cs="David" w:hint="cs"/>
          <w:noProof/>
          <w:sz w:val="22"/>
          <w:szCs w:val="22"/>
          <w:rtl/>
        </w:rPr>
        <w:t xml:space="preserve"> לפי דברי השואל משמע שבבית-הקברות של בית-החולים קבורים גם יהודים וגם שאינם יהודים, ואף שהרוב הם יהודים, מכל מקום יש חשש גדול שקברו גוי בד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אמותיה של המנוחה. ובשו"ת "חכם צבי"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נ, הובאו דבריו ב"פתחי תשובה"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שסג ס"ק א) כתב, שמי שנקבר בק</w:t>
      </w:r>
      <w:r w:rsidRPr="00804CB7">
        <w:rPr>
          <w:rFonts w:ascii="David" w:hAnsi="David" w:cs="David"/>
          <w:noProof/>
          <w:sz w:val="22"/>
          <w:szCs w:val="22"/>
          <w:rtl/>
        </w:rPr>
        <w:t>ר</w:t>
      </w:r>
      <w:r w:rsidRPr="00804CB7">
        <w:rPr>
          <w:rFonts w:ascii="David" w:hAnsi="David" w:cs="David" w:hint="cs"/>
          <w:noProof/>
          <w:sz w:val="22"/>
          <w:szCs w:val="22"/>
          <w:rtl/>
        </w:rPr>
        <w:t>קעות עכו"ם, מותר להוציאו ולקברו בקברות ישראל. ואמנם שם כתב שהטעם משום שהגוי יחרוש ויזרע על קרקע הקבר, אלא שהוסיף עוד טעם, שלהעביר מקרקע של גוי לקבר יהודים עדיף הוא ממה שכתבו ש"מותר לפנות המת ממקום אחד למקום אחר שהוא שלו". וכתב ה"נודע ביהודה" (מהד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קמא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פט) שטעמו של "חכם צבי" גם משום "שלא יהיו קוברין עכו"ם אצל ישראל". וב"אגרות משה" (יורה דעה ח"ג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קו) כתב שחמורה קבורת גוי ליד יהודי, יותר מקבורת רשע אצל צדיק, כי שם זה רק אסור לכתחילה, אבל בדיעבד אין מפנין, ואִלו בעכו"ם אצל יהודי אף דיעבד מפנים, ומקור הדברים בגליון מהרש"א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שסג). וכן כתב הגר"ע יוסף בשו"ת "יביע אומר" (ח"ז חלק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לח), שאם נקבר גוי בבית-קברות יהודי ואי-אפשר לפנותו בגלל החוק, יעבירו את היהודים הקבורים אצלו למקום אחר.</w:t>
      </w:r>
    </w:p>
    <w:p w14:paraId="36DAF879"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ב</w:t>
      </w:r>
      <w:r w:rsidRPr="00804CB7">
        <w:rPr>
          <w:rFonts w:ascii="David" w:hAnsi="David" w:cs="David" w:hint="cs"/>
          <w:noProof/>
          <w:sz w:val="22"/>
          <w:szCs w:val="22"/>
          <w:rtl/>
        </w:rPr>
        <w:t>נדון דידן יש אפוא לומר שאם קבור גוי בשכנותה,</w:t>
      </w:r>
      <w:r w:rsidRPr="00804CB7">
        <w:rPr>
          <w:rFonts w:ascii="David" w:hAnsi="David" w:cs="David"/>
          <w:noProof/>
          <w:sz w:val="22"/>
          <w:szCs w:val="22"/>
          <w:rtl/>
        </w:rPr>
        <w:t xml:space="preserve"> </w:t>
      </w:r>
      <w:r w:rsidRPr="00804CB7">
        <w:rPr>
          <w:rFonts w:ascii="David" w:hAnsi="David" w:cs="David" w:hint="cs"/>
          <w:noProof/>
          <w:sz w:val="22"/>
          <w:szCs w:val="22"/>
          <w:rtl/>
        </w:rPr>
        <w:t>כלומר בתוך ד</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אמותיה, ודאי שמותר להעבירה לבית-הקברות של הקהילה. ואולם אם הדבר אינו ברור או שנמצא שאין גוי קבור ממש לידה, אלא שבבית-הקברות ההוא קבורים גויים במקומות מפוזרים, יש להסמיך לזה מה שכתב בשו"ת "אגרות משה" (יורה דעה ח"ג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קמח) שמה שכתוב, שאין לפנות אפילו מקבר בזוי לקבר מכובד, הוא דווקא אם המקום </w:t>
      </w:r>
      <w:r w:rsidRPr="00804CB7">
        <w:rPr>
          <w:rFonts w:ascii="David" w:hAnsi="David" w:cs="David" w:hint="cs"/>
          <w:noProof/>
          <w:sz w:val="22"/>
          <w:szCs w:val="22"/>
          <w:rtl/>
        </w:rPr>
        <w:lastRenderedPageBreak/>
        <w:t>עצמו הוא בזוי (כגון ליד הגדר, או במקום דריסת אנשים), אבל אם הוא בזיון לאדם שמת, כגון גבר ליד אשה שאינה אשתו, מותר לפנותו, ולא יהא גרוע ממה שהתירו לפנות לקבר משפחה (עיין הערה 3). ובנדון דידן ודאי יש בזיון לנפטרת להיקבר במקום שקוברין בעירבוביה גויים ויהודים, ואולי עוד יקברו בצידה עכו"ם, ואף יש חשש שיבואו קרובי העכו"ם ויעשו מעשים כמנהג דתם ליד קברי קרוביהם (ויש להעיר על דבריו בסי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קמח מדבריו ב"אגרות משה" שם,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קמט, לעניין צדיק שנקבר אצל רשע, שאין מפנין בדיעבד משום דהוי רק כמבזוי למכובד).</w:t>
      </w:r>
    </w:p>
    <w:p w14:paraId="097B027E" w14:textId="77777777" w:rsidR="00804CB7" w:rsidRPr="00804CB7" w:rsidRDefault="00804CB7" w:rsidP="00804CB7">
      <w:pPr>
        <w:widowControl w:val="0"/>
        <w:autoSpaceDE w:val="0"/>
        <w:autoSpaceDN w:val="0"/>
        <w:adjustRightInd w:val="0"/>
        <w:ind w:left="141" w:hanging="141"/>
        <w:contextualSpacing/>
        <w:rPr>
          <w:rFonts w:ascii="David" w:hAnsi="David" w:cs="David"/>
          <w:noProof/>
          <w:sz w:val="22"/>
          <w:szCs w:val="22"/>
          <w:rtl/>
        </w:rPr>
      </w:pPr>
      <w:r w:rsidRPr="00804CB7">
        <w:rPr>
          <w:rFonts w:ascii="David" w:hAnsi="David" w:cs="David" w:hint="cs"/>
          <w:noProof/>
          <w:sz w:val="22"/>
          <w:szCs w:val="22"/>
          <w:vertAlign w:val="superscript"/>
          <w:rtl/>
        </w:rPr>
        <w:t>3</w:t>
      </w:r>
      <w:r w:rsidRPr="00804CB7">
        <w:rPr>
          <w:rFonts w:ascii="David" w:hAnsi="David" w:cs="David" w:hint="cs"/>
          <w:noProof/>
          <w:sz w:val="22"/>
          <w:szCs w:val="22"/>
          <w:rtl/>
        </w:rPr>
        <w:t xml:space="preserve"> </w:t>
      </w:r>
      <w:r w:rsidRPr="00804CB7">
        <w:rPr>
          <w:rFonts w:ascii="David" w:hAnsi="David" w:cs="David"/>
          <w:noProof/>
          <w:sz w:val="22"/>
          <w:szCs w:val="22"/>
          <w:rtl/>
        </w:rPr>
        <w:tab/>
        <w:t>כ</w:t>
      </w:r>
      <w:r w:rsidRPr="00804CB7">
        <w:rPr>
          <w:rFonts w:ascii="David" w:hAnsi="David" w:cs="David" w:hint="cs"/>
          <w:noProof/>
          <w:sz w:val="22"/>
          <w:szCs w:val="22"/>
          <w:rtl/>
        </w:rPr>
        <w:t>תוב בשו"ע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שסג סע</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א) "ובתוך שלו </w:t>
      </w:r>
      <w:r w:rsidRPr="00804CB7">
        <w:rPr>
          <w:rFonts w:ascii="David" w:hAnsi="David" w:cs="David"/>
          <w:noProof/>
          <w:sz w:val="22"/>
          <w:szCs w:val="22"/>
          <w:rtl/>
        </w:rPr>
        <w:t xml:space="preserve">- </w:t>
      </w:r>
      <w:r w:rsidRPr="00804CB7">
        <w:rPr>
          <w:rFonts w:ascii="David" w:hAnsi="David" w:cs="David" w:hint="cs"/>
          <w:noProof/>
          <w:sz w:val="22"/>
          <w:szCs w:val="22"/>
          <w:rtl/>
        </w:rPr>
        <w:t>אפילו ממכובד לבזוי מותר (לפנות המת מקברו), שערב הוא לאדם שיהא נח אצל אבותיו". אמנם דנו אחרונים בשאלה, אם ההיתר לפנות לקבר-משפחה הוא דווקא כאשר כבר נקברו מבני המשפחה שם, או אף</w:t>
      </w:r>
      <w:r w:rsidRPr="00804CB7">
        <w:rPr>
          <w:rFonts w:ascii="David" w:hAnsi="David" w:cs="David"/>
          <w:noProof/>
          <w:sz w:val="22"/>
          <w:szCs w:val="22"/>
          <w:rtl/>
        </w:rPr>
        <w:t xml:space="preserve"> </w:t>
      </w:r>
      <w:r w:rsidRPr="00804CB7">
        <w:rPr>
          <w:rFonts w:ascii="David" w:hAnsi="David" w:cs="David" w:hint="cs"/>
          <w:noProof/>
          <w:sz w:val="22"/>
          <w:szCs w:val="22"/>
          <w:rtl/>
        </w:rPr>
        <w:t>אם לא נקברו, אבל עתידין להיקבר שם. ה"אור שמח" (הלכות שמחות פי"ד הל</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טו) הביא ראיה מאלעזר הכהן הגדול שנקבר בגבעת פינחס בנו (והוליכוהו לשם לאחר מיתתו בשילה), טרם שנקבר שם פינחס, שהאריך שנים רבות אחריו. הראי"ה קוק בשו"ת "דעת-כהן"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רב) הכריע כן להלכה, ומביא ראיה מלשון הירושלמי "ערב הוא לאדם שיהא נינוח אצל אבותיו", ומסיק שם להלכה שמהני מה שיקנו חלקת קבר למשפחה ויפנו המת מקברו לשם. והוא ממש כנדון דידן. ואף שבשו"ת "אגרות משה" הנ"ל לא הסכים למתירין, מכל מקום סיים שם שהרוצה לסמוך על ה"אור שמח", אין למחות בידו. ובקונטרס "אבן יעקב" (ב"ציץ אליעזר" כרך ד-ה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כח) האריך להביא פוסקים המתירין במקרה כזה, בניגוד לדעת ה"אגרות משה".</w:t>
      </w:r>
    </w:p>
    <w:p w14:paraId="4F1B48A8"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מ</w:t>
      </w:r>
      <w:r w:rsidRPr="00804CB7">
        <w:rPr>
          <w:rFonts w:ascii="David" w:hAnsi="David" w:cs="David" w:hint="cs"/>
          <w:noProof/>
          <w:sz w:val="22"/>
          <w:szCs w:val="22"/>
          <w:rtl/>
        </w:rPr>
        <w:t xml:space="preserve">כל הנ"ל עולה שאם יקנו בני משפחת המנוחה חלקת-קבר מיוחדת לבני משפחתם (ובכללם גם בעלה, אם עודנו חי, ואם כבר נפטר וקבור בבית-הקברות היהודי, הרי </w:t>
      </w:r>
      <w:r w:rsidRPr="00804CB7">
        <w:rPr>
          <w:rFonts w:ascii="David" w:hAnsi="David" w:cs="David"/>
          <w:noProof/>
          <w:sz w:val="22"/>
          <w:szCs w:val="22"/>
          <w:rtl/>
        </w:rPr>
        <w:t>ש</w:t>
      </w:r>
      <w:r w:rsidRPr="00804CB7">
        <w:rPr>
          <w:rFonts w:ascii="David" w:hAnsi="David" w:cs="David" w:hint="cs"/>
          <w:noProof/>
          <w:sz w:val="22"/>
          <w:szCs w:val="22"/>
          <w:rtl/>
        </w:rPr>
        <w:t>היתר הפינוי הוא עוד יותר בשופי, ואפילו שלא יהיו קברותיהם סמוכים זה לזה), הרי שיש להם ודאי על מה שיסמוכו לפנותה לשם. אם האשה שומרת שבת ותקבר בחלקת שומרי שבת, הרי גם זכינן למה שכתוב (שו"ע יורה דעה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שסב סעיף ה) שאין קוברין צדיק אצל רשע (ועיין שו"ת רמ"ע מפאנו סי</w:t>
      </w:r>
      <w:smartTag w:uri="urn:schemas-microsoft-com:office:smarttags" w:element="PersonName">
        <w:r w:rsidRPr="00804CB7">
          <w:rPr>
            <w:rFonts w:ascii="David" w:hAnsi="David" w:cs="David" w:hint="cs"/>
            <w:noProof/>
            <w:sz w:val="22"/>
            <w:szCs w:val="22"/>
            <w:rtl/>
          </w:rPr>
          <w:t>'</w:t>
        </w:r>
      </w:smartTag>
      <w:r w:rsidRPr="00804CB7">
        <w:rPr>
          <w:rFonts w:ascii="David" w:hAnsi="David" w:cs="David" w:hint="cs"/>
          <w:noProof/>
          <w:sz w:val="22"/>
          <w:szCs w:val="22"/>
          <w:rtl/>
        </w:rPr>
        <w:t xml:space="preserve"> מד).</w:t>
      </w:r>
    </w:p>
    <w:p w14:paraId="64BF274D"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ע</w:t>
      </w:r>
      <w:r w:rsidRPr="00804CB7">
        <w:rPr>
          <w:rFonts w:ascii="David" w:hAnsi="David" w:cs="David" w:hint="cs"/>
          <w:noProof/>
          <w:sz w:val="22"/>
          <w:szCs w:val="22"/>
          <w:rtl/>
        </w:rPr>
        <w:t>ל פי פוסקים רבים גם קברי ילדים נחשבים לקבר אבות, אבל יש עדיפות לקנייה על-ידי הורים או בעל).</w:t>
      </w:r>
    </w:p>
    <w:p w14:paraId="14539FC0" w14:textId="77777777" w:rsidR="00804CB7" w:rsidRPr="00804CB7" w:rsidRDefault="00804CB7" w:rsidP="00804CB7">
      <w:pPr>
        <w:widowControl w:val="0"/>
        <w:autoSpaceDE w:val="0"/>
        <w:autoSpaceDN w:val="0"/>
        <w:adjustRightInd w:val="0"/>
        <w:ind w:left="141"/>
        <w:contextualSpacing/>
        <w:rPr>
          <w:rFonts w:ascii="David" w:hAnsi="David" w:cs="David"/>
          <w:noProof/>
          <w:sz w:val="22"/>
          <w:szCs w:val="22"/>
          <w:rtl/>
        </w:rPr>
      </w:pPr>
      <w:r w:rsidRPr="00804CB7">
        <w:rPr>
          <w:rFonts w:ascii="David" w:hAnsi="David" w:cs="David"/>
          <w:noProof/>
          <w:sz w:val="22"/>
          <w:szCs w:val="22"/>
          <w:rtl/>
        </w:rPr>
        <w:t>ו</w:t>
      </w:r>
      <w:r w:rsidRPr="00804CB7">
        <w:rPr>
          <w:rFonts w:ascii="David" w:hAnsi="David" w:cs="David" w:hint="cs"/>
          <w:noProof/>
          <w:sz w:val="22"/>
          <w:szCs w:val="22"/>
          <w:rtl/>
        </w:rPr>
        <w:t>צריך הרב להשגיח היטב שבני משפחתה יקנו את החלקה בקניין גמור, ורק אחר כך יפנוה לשם!</w:t>
      </w:r>
    </w:p>
    <w:p w14:paraId="60897FDC" w14:textId="77777777" w:rsidR="00B96A4F" w:rsidRPr="00804CB7" w:rsidRDefault="00B96A4F" w:rsidP="00B96A4F">
      <w:pPr>
        <w:contextualSpacing/>
        <w:rPr>
          <w:rFonts w:ascii="David" w:hAnsi="David" w:cs="David"/>
          <w:lang w:eastAsia="he-IL"/>
        </w:rPr>
      </w:pPr>
    </w:p>
    <w:p w14:paraId="5D158611" w14:textId="77777777" w:rsidR="00304C81" w:rsidRPr="00173367" w:rsidRDefault="00304C81" w:rsidP="00B96A4F">
      <w:pPr>
        <w:contextualSpacing/>
        <w:rPr>
          <w:rFonts w:ascii="David" w:hAnsi="David" w:cs="David"/>
          <w:sz w:val="21"/>
          <w:szCs w:val="21"/>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12303251" w14:textId="77777777" w:rsidR="00173367" w:rsidRPr="00173367" w:rsidRDefault="00173367" w:rsidP="00B96A4F">
      <w:pPr>
        <w:ind w:left="2695"/>
        <w:contextualSpacing/>
        <w:jc w:val="center"/>
        <w:rPr>
          <w:rFonts w:cs="David"/>
          <w:rtl/>
          <w:lang w:eastAsia="he-IL"/>
        </w:rPr>
      </w:pPr>
    </w:p>
    <w:p w14:paraId="2DBDD29A" w14:textId="77777777" w:rsidR="00616EB6" w:rsidRPr="00616EB6" w:rsidRDefault="00616EB6" w:rsidP="00616EB6">
      <w:pPr>
        <w:jc w:val="both"/>
        <w:rPr>
          <w:rFonts w:cs="David"/>
          <w:u w:val="single"/>
          <w:rtl/>
          <w:lang w:eastAsia="he-IL"/>
        </w:rPr>
      </w:pPr>
      <w:r w:rsidRPr="00616EB6">
        <w:rPr>
          <w:rFonts w:cs="David"/>
          <w:u w:val="single"/>
          <w:rtl/>
          <w:lang w:eastAsia="he-IL"/>
        </w:rPr>
        <w:t>חברי הועדה המייעצת:</w:t>
      </w:r>
    </w:p>
    <w:p w14:paraId="66453576" w14:textId="77777777" w:rsidR="00616EB6" w:rsidRPr="00616EB6" w:rsidRDefault="00616EB6" w:rsidP="00616EB6">
      <w:pPr>
        <w:jc w:val="both"/>
        <w:rPr>
          <w:rFonts w:cs="David"/>
          <w:sz w:val="23"/>
          <w:szCs w:val="23"/>
          <w:rtl/>
          <w:lang w:eastAsia="he-IL"/>
        </w:rPr>
      </w:pPr>
      <w:r w:rsidRPr="00616EB6">
        <w:rPr>
          <w:rFonts w:cs="David"/>
          <w:sz w:val="23"/>
          <w:szCs w:val="23"/>
          <w:rtl/>
          <w:lang w:eastAsia="he-IL"/>
        </w:rPr>
        <w:t>הרב זלמן נחמיה גולדברג</w:t>
      </w:r>
    </w:p>
    <w:p w14:paraId="0820CFB4" w14:textId="77777777" w:rsidR="00616EB6" w:rsidRPr="00616EB6" w:rsidRDefault="00616EB6" w:rsidP="00616EB6">
      <w:pPr>
        <w:jc w:val="both"/>
        <w:rPr>
          <w:rFonts w:cs="David"/>
          <w:sz w:val="23"/>
          <w:szCs w:val="23"/>
          <w:rtl/>
          <w:lang w:eastAsia="he-IL"/>
        </w:rPr>
      </w:pPr>
      <w:r w:rsidRPr="00616EB6">
        <w:rPr>
          <w:rFonts w:cs="David"/>
          <w:sz w:val="23"/>
          <w:szCs w:val="23"/>
          <w:rtl/>
          <w:lang w:eastAsia="he-IL"/>
        </w:rPr>
        <w:t>הרב נחום אליעזר רבינוביץ</w:t>
      </w:r>
    </w:p>
    <w:p w14:paraId="6DCCEC14" w14:textId="2510C370" w:rsidR="00616EB6" w:rsidRDefault="00616EB6" w:rsidP="00616EB6">
      <w:pPr>
        <w:jc w:val="both"/>
        <w:rPr>
          <w:rFonts w:cs="David"/>
          <w:sz w:val="23"/>
          <w:szCs w:val="23"/>
          <w:rtl/>
          <w:lang w:eastAsia="he-IL"/>
        </w:rPr>
      </w:pPr>
      <w:r w:rsidRPr="00616EB6">
        <w:rPr>
          <w:rFonts w:cs="David"/>
          <w:sz w:val="23"/>
          <w:szCs w:val="23"/>
          <w:rtl/>
          <w:lang w:eastAsia="he-IL"/>
        </w:rPr>
        <w:t>הרב ישראל רוזן</w:t>
      </w:r>
    </w:p>
    <w:p w14:paraId="0F26641A" w14:textId="77777777" w:rsidR="00D04223" w:rsidRPr="00616EB6" w:rsidRDefault="00D04223" w:rsidP="00616EB6">
      <w:pPr>
        <w:jc w:val="both"/>
        <w:rPr>
          <w:rFonts w:cs="David"/>
          <w:sz w:val="23"/>
          <w:szCs w:val="23"/>
          <w:rtl/>
          <w:lang w:eastAsia="he-IL"/>
        </w:rPr>
      </w:pPr>
    </w:p>
    <w:p w14:paraId="7FF22923" w14:textId="77777777" w:rsidR="00616EB6" w:rsidRPr="00173367" w:rsidRDefault="00616EB6" w:rsidP="00616EB6">
      <w:pPr>
        <w:ind w:left="2695"/>
        <w:contextualSpacing/>
        <w:rPr>
          <w:rFonts w:cs="David"/>
          <w:rtl/>
          <w:lang w:eastAsia="he-IL"/>
        </w:rPr>
      </w:pPr>
    </w:p>
    <w:p w14:paraId="6AEE4115" w14:textId="77777777" w:rsidR="002835F6" w:rsidRDefault="002835F6" w:rsidP="002835F6">
      <w:pPr>
        <w:rPr>
          <w:sz w:val="14"/>
          <w:szCs w:val="14"/>
          <w:rtl/>
        </w:rPr>
      </w:pPr>
      <w:bookmarkStart w:id="3" w:name="_Hlk175743676"/>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3"/>
        <w:gridCol w:w="282"/>
        <w:gridCol w:w="11"/>
        <w:gridCol w:w="704"/>
        <w:gridCol w:w="701"/>
        <w:gridCol w:w="567"/>
        <w:gridCol w:w="146"/>
        <w:gridCol w:w="704"/>
        <w:gridCol w:w="571"/>
        <w:gridCol w:w="142"/>
        <w:gridCol w:w="138"/>
        <w:gridCol w:w="850"/>
        <w:gridCol w:w="287"/>
        <w:gridCol w:w="430"/>
        <w:gridCol w:w="294"/>
        <w:gridCol w:w="123"/>
        <w:gridCol w:w="430"/>
        <w:gridCol w:w="141"/>
        <w:gridCol w:w="851"/>
        <w:gridCol w:w="275"/>
        <w:gridCol w:w="717"/>
        <w:gridCol w:w="847"/>
      </w:tblGrid>
      <w:tr w:rsidR="002835F6" w:rsidRPr="003A5DA7" w14:paraId="65D09459" w14:textId="77777777" w:rsidTr="004C40D3">
        <w:tc>
          <w:tcPr>
            <w:tcW w:w="6836" w:type="dxa"/>
            <w:gridSpan w:val="14"/>
            <w:tcBorders>
              <w:top w:val="single" w:sz="4" w:space="0" w:color="auto"/>
              <w:left w:val="single" w:sz="4" w:space="0" w:color="auto"/>
              <w:bottom w:val="nil"/>
              <w:right w:val="nil"/>
            </w:tcBorders>
            <w:vAlign w:val="center"/>
          </w:tcPr>
          <w:p w14:paraId="5143C022" w14:textId="77777777" w:rsidR="002835F6" w:rsidRPr="00F5215F" w:rsidRDefault="002835F6" w:rsidP="004C40D3">
            <w:pPr>
              <w:spacing w:line="276" w:lineRule="auto"/>
              <w:contextualSpacing/>
              <w:jc w:val="center"/>
              <w:rPr>
                <w:rFonts w:cs="David"/>
                <w:b/>
                <w:bCs/>
                <w:sz w:val="6"/>
                <w:szCs w:val="6"/>
                <w:u w:val="single"/>
                <w:rtl/>
              </w:rPr>
            </w:pPr>
          </w:p>
          <w:p w14:paraId="2F2EBBC8" w14:textId="77777777" w:rsidR="002835F6" w:rsidRPr="00785CA6" w:rsidRDefault="002835F6" w:rsidP="004C40D3">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78" w:type="dxa"/>
            <w:gridSpan w:val="8"/>
            <w:tcBorders>
              <w:top w:val="single" w:sz="4" w:space="0" w:color="auto"/>
              <w:left w:val="nil"/>
              <w:bottom w:val="nil"/>
              <w:right w:val="single" w:sz="4" w:space="0" w:color="auto"/>
            </w:tcBorders>
            <w:vAlign w:val="center"/>
          </w:tcPr>
          <w:p w14:paraId="2EE6C2EC" w14:textId="77777777" w:rsidR="002835F6" w:rsidRPr="00C55962" w:rsidRDefault="002835F6" w:rsidP="004C40D3">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2835F6" w:rsidRPr="003A5DA7" w14:paraId="113E135E" w14:textId="77777777" w:rsidTr="004C40D3">
        <w:tc>
          <w:tcPr>
            <w:tcW w:w="1585" w:type="dxa"/>
            <w:gridSpan w:val="2"/>
            <w:tcBorders>
              <w:top w:val="nil"/>
              <w:left w:val="single" w:sz="4" w:space="0" w:color="auto"/>
              <w:bottom w:val="nil"/>
              <w:right w:val="nil"/>
            </w:tcBorders>
          </w:tcPr>
          <w:p w14:paraId="0DD81884" w14:textId="77777777" w:rsidR="002835F6" w:rsidRPr="003A5DA7" w:rsidRDefault="002835F6" w:rsidP="004C40D3">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3" w:type="dxa"/>
            <w:gridSpan w:val="4"/>
            <w:tcBorders>
              <w:top w:val="nil"/>
              <w:left w:val="nil"/>
              <w:bottom w:val="nil"/>
              <w:right w:val="nil"/>
            </w:tcBorders>
          </w:tcPr>
          <w:p w14:paraId="36312EEF" w14:textId="77777777" w:rsidR="002835F6" w:rsidRPr="003A5DA7" w:rsidRDefault="002835F6" w:rsidP="004C40D3">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5"/>
            <w:tcBorders>
              <w:top w:val="nil"/>
              <w:left w:val="nil"/>
              <w:bottom w:val="nil"/>
              <w:right w:val="nil"/>
            </w:tcBorders>
            <w:vAlign w:val="center"/>
          </w:tcPr>
          <w:p w14:paraId="17E25C65" w14:textId="77777777" w:rsidR="002835F6" w:rsidRPr="003A5DA7" w:rsidRDefault="002835F6" w:rsidP="004C40D3">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61FF52CD" w14:textId="77777777" w:rsidR="002835F6" w:rsidRPr="003A5DA7" w:rsidRDefault="002835F6" w:rsidP="004C40D3">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4" w:type="dxa"/>
            <w:gridSpan w:val="7"/>
            <w:tcBorders>
              <w:top w:val="nil"/>
              <w:left w:val="nil"/>
              <w:bottom w:val="nil"/>
              <w:right w:val="single" w:sz="4" w:space="0" w:color="auto"/>
            </w:tcBorders>
            <w:vAlign w:val="center"/>
          </w:tcPr>
          <w:p w14:paraId="1B186096" w14:textId="77777777" w:rsidR="002835F6" w:rsidRPr="003A5DA7" w:rsidRDefault="002835F6" w:rsidP="004C40D3">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2835F6" w:rsidRPr="003A5DA7" w14:paraId="3ABF7D37" w14:textId="77777777" w:rsidTr="004C40D3">
        <w:tc>
          <w:tcPr>
            <w:tcW w:w="1303" w:type="dxa"/>
            <w:tcBorders>
              <w:top w:val="nil"/>
              <w:left w:val="single" w:sz="4" w:space="0" w:color="auto"/>
              <w:bottom w:val="nil"/>
              <w:right w:val="nil"/>
            </w:tcBorders>
          </w:tcPr>
          <w:p w14:paraId="1579AB75" w14:textId="77777777" w:rsidR="002835F6" w:rsidRPr="003A5DA7" w:rsidRDefault="002835F6" w:rsidP="004C40D3">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8" w:type="dxa"/>
            <w:gridSpan w:val="4"/>
            <w:tcBorders>
              <w:top w:val="nil"/>
              <w:left w:val="nil"/>
              <w:bottom w:val="nil"/>
              <w:right w:val="nil"/>
            </w:tcBorders>
          </w:tcPr>
          <w:p w14:paraId="77B364B8"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382BD00B" w14:textId="77777777" w:rsidR="002835F6" w:rsidRPr="003A5DA7" w:rsidRDefault="002835F6" w:rsidP="004C40D3">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1" w:type="dxa"/>
            <w:gridSpan w:val="4"/>
            <w:tcBorders>
              <w:top w:val="nil"/>
              <w:left w:val="nil"/>
              <w:bottom w:val="nil"/>
              <w:right w:val="nil"/>
            </w:tcBorders>
            <w:vAlign w:val="center"/>
          </w:tcPr>
          <w:p w14:paraId="03D910BD" w14:textId="77777777" w:rsidR="002835F6" w:rsidRPr="003A5DA7" w:rsidRDefault="002835F6" w:rsidP="004C40D3">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3963D4DD" w14:textId="77777777" w:rsidR="002835F6" w:rsidRPr="003A5DA7" w:rsidRDefault="002835F6" w:rsidP="004C40D3">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2"/>
            <w:tcBorders>
              <w:top w:val="nil"/>
              <w:left w:val="nil"/>
              <w:bottom w:val="nil"/>
              <w:right w:val="single" w:sz="4" w:space="0" w:color="auto"/>
            </w:tcBorders>
            <w:vAlign w:val="center"/>
          </w:tcPr>
          <w:p w14:paraId="45E9F096" w14:textId="77777777" w:rsidR="002835F6" w:rsidRPr="003A5DA7" w:rsidRDefault="002835F6" w:rsidP="004C40D3">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2835F6" w:rsidRPr="003A5DA7" w14:paraId="322B17AF" w14:textId="77777777" w:rsidTr="004C40D3">
        <w:tc>
          <w:tcPr>
            <w:tcW w:w="1596" w:type="dxa"/>
            <w:gridSpan w:val="3"/>
            <w:tcBorders>
              <w:top w:val="nil"/>
              <w:left w:val="single" w:sz="4" w:space="0" w:color="auto"/>
              <w:bottom w:val="nil"/>
              <w:right w:val="nil"/>
            </w:tcBorders>
          </w:tcPr>
          <w:p w14:paraId="5F336ED6" w14:textId="77777777" w:rsidR="002835F6" w:rsidRPr="003A5DA7" w:rsidRDefault="002835F6" w:rsidP="004C40D3">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8" w:type="dxa"/>
            <w:gridSpan w:val="4"/>
            <w:tcBorders>
              <w:top w:val="nil"/>
              <w:left w:val="nil"/>
              <w:bottom w:val="nil"/>
              <w:right w:val="nil"/>
            </w:tcBorders>
            <w:vAlign w:val="center"/>
          </w:tcPr>
          <w:p w14:paraId="532FE900"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3"/>
            <w:tcBorders>
              <w:top w:val="nil"/>
              <w:left w:val="nil"/>
              <w:bottom w:val="nil"/>
              <w:right w:val="nil"/>
            </w:tcBorders>
            <w:vAlign w:val="center"/>
          </w:tcPr>
          <w:p w14:paraId="700A75FF" w14:textId="77777777" w:rsidR="002835F6" w:rsidRPr="003A5DA7" w:rsidRDefault="002835F6" w:rsidP="004C40D3">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5C5D9F09" w14:textId="77777777" w:rsidR="002835F6" w:rsidRPr="00FF6578" w:rsidRDefault="002835F6" w:rsidP="004C40D3">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0EAB0F96" w14:textId="77777777" w:rsidR="002835F6" w:rsidRPr="00FF6578" w:rsidRDefault="002835F6" w:rsidP="004C40D3">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39" w:type="dxa"/>
            <w:gridSpan w:val="3"/>
            <w:tcBorders>
              <w:top w:val="nil"/>
              <w:left w:val="nil"/>
              <w:bottom w:val="nil"/>
              <w:right w:val="single" w:sz="4" w:space="0" w:color="auto"/>
            </w:tcBorders>
            <w:vAlign w:val="center"/>
          </w:tcPr>
          <w:p w14:paraId="5381B5DF"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2835F6" w:rsidRPr="003A5DA7" w14:paraId="5DD8B1FC" w14:textId="77777777" w:rsidTr="004C40D3">
        <w:tc>
          <w:tcPr>
            <w:tcW w:w="1585" w:type="dxa"/>
            <w:gridSpan w:val="2"/>
            <w:tcBorders>
              <w:top w:val="nil"/>
              <w:left w:val="single" w:sz="4" w:space="0" w:color="auto"/>
              <w:bottom w:val="nil"/>
              <w:right w:val="nil"/>
            </w:tcBorders>
          </w:tcPr>
          <w:p w14:paraId="3A386F17" w14:textId="77777777" w:rsidR="002835F6" w:rsidRPr="003A5DA7" w:rsidRDefault="002835F6" w:rsidP="004C40D3">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1983" w:type="dxa"/>
            <w:gridSpan w:val="4"/>
            <w:tcBorders>
              <w:top w:val="nil"/>
              <w:left w:val="nil"/>
              <w:bottom w:val="nil"/>
              <w:right w:val="nil"/>
            </w:tcBorders>
            <w:vAlign w:val="center"/>
          </w:tcPr>
          <w:p w14:paraId="220A8905"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421" w:type="dxa"/>
            <w:gridSpan w:val="3"/>
            <w:tcBorders>
              <w:top w:val="nil"/>
              <w:left w:val="nil"/>
              <w:bottom w:val="nil"/>
              <w:right w:val="nil"/>
            </w:tcBorders>
            <w:vAlign w:val="center"/>
          </w:tcPr>
          <w:p w14:paraId="0937391F" w14:textId="77777777" w:rsidR="002835F6" w:rsidRPr="003A5DA7" w:rsidRDefault="002835F6" w:rsidP="004C40D3">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417" w:type="dxa"/>
            <w:gridSpan w:val="4"/>
            <w:tcBorders>
              <w:top w:val="nil"/>
              <w:left w:val="nil"/>
              <w:bottom w:val="nil"/>
              <w:right w:val="nil"/>
            </w:tcBorders>
            <w:vAlign w:val="center"/>
          </w:tcPr>
          <w:p w14:paraId="2697057F" w14:textId="77777777" w:rsidR="002835F6" w:rsidRPr="003A5DA7" w:rsidRDefault="002835F6" w:rsidP="004C40D3">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1418" w:type="dxa"/>
            <w:gridSpan w:val="5"/>
            <w:tcBorders>
              <w:top w:val="nil"/>
              <w:left w:val="nil"/>
              <w:bottom w:val="nil"/>
              <w:right w:val="nil"/>
            </w:tcBorders>
            <w:vAlign w:val="center"/>
          </w:tcPr>
          <w:p w14:paraId="0ABAAB90" w14:textId="77777777" w:rsidR="002835F6" w:rsidRPr="003A5DA7" w:rsidRDefault="002835F6" w:rsidP="004C40D3">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690" w:type="dxa"/>
            <w:gridSpan w:val="4"/>
            <w:tcBorders>
              <w:top w:val="nil"/>
              <w:left w:val="nil"/>
              <w:bottom w:val="nil"/>
              <w:right w:val="single" w:sz="4" w:space="0" w:color="auto"/>
            </w:tcBorders>
            <w:vAlign w:val="center"/>
          </w:tcPr>
          <w:p w14:paraId="36545F4C"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r>
      <w:tr w:rsidR="002835F6" w:rsidRPr="003A5DA7" w14:paraId="477565AA" w14:textId="77777777" w:rsidTr="004C40D3">
        <w:tc>
          <w:tcPr>
            <w:tcW w:w="2300" w:type="dxa"/>
            <w:gridSpan w:val="4"/>
            <w:tcBorders>
              <w:top w:val="nil"/>
              <w:left w:val="single" w:sz="4" w:space="0" w:color="auto"/>
              <w:bottom w:val="single" w:sz="4" w:space="0" w:color="auto"/>
              <w:right w:val="nil"/>
            </w:tcBorders>
            <w:vAlign w:val="center"/>
          </w:tcPr>
          <w:p w14:paraId="5D310668" w14:textId="77777777" w:rsidR="002835F6" w:rsidRPr="003A5DA7" w:rsidRDefault="002835F6" w:rsidP="004C40D3">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9" w:type="dxa"/>
            <w:gridSpan w:val="5"/>
            <w:tcBorders>
              <w:top w:val="nil"/>
              <w:left w:val="nil"/>
              <w:bottom w:val="single" w:sz="4" w:space="0" w:color="auto"/>
              <w:right w:val="nil"/>
            </w:tcBorders>
            <w:vAlign w:val="center"/>
          </w:tcPr>
          <w:p w14:paraId="3CCFB945" w14:textId="77777777" w:rsidR="002835F6" w:rsidRPr="003A5DA7" w:rsidRDefault="002835F6" w:rsidP="004C40D3">
            <w:pPr>
              <w:spacing w:line="276" w:lineRule="auto"/>
              <w:ind w:firstLine="21"/>
              <w:contextualSpacing/>
              <w:jc w:val="center"/>
              <w:rPr>
                <w:rFonts w:ascii="Calibri" w:eastAsia="Calibri" w:hAnsi="Calibri" w:cs="David"/>
                <w:b/>
                <w:bCs/>
                <w:color w:val="0070C0"/>
                <w:sz w:val="20"/>
                <w:szCs w:val="20"/>
                <w:rtl/>
              </w:rPr>
            </w:pPr>
            <w:r>
              <w:rPr>
                <w:rFonts w:cs="David" w:hint="cs"/>
                <w:b/>
                <w:bCs/>
                <w:color w:val="0070C0"/>
                <w:sz w:val="20"/>
                <w:szCs w:val="20"/>
                <w:rtl/>
              </w:rPr>
              <w:t>ניר</w:t>
            </w:r>
            <w:r w:rsidRPr="003A5DA7">
              <w:rPr>
                <w:rFonts w:cs="David" w:hint="cs"/>
                <w:b/>
                <w:bCs/>
                <w:color w:val="0070C0"/>
                <w:sz w:val="20"/>
                <w:szCs w:val="20"/>
                <w:rtl/>
              </w:rPr>
              <w:t xml:space="preserve"> יצחק רפאל בן יפה</w:t>
            </w:r>
            <w:r>
              <w:rPr>
                <w:rFonts w:cs="David" w:hint="cs"/>
                <w:b/>
                <w:bCs/>
                <w:color w:val="0070C0"/>
                <w:sz w:val="20"/>
                <w:szCs w:val="20"/>
                <w:rtl/>
              </w:rPr>
              <w:t xml:space="preserve"> </w:t>
            </w:r>
            <w:r w:rsidRPr="003A5DA7">
              <w:rPr>
                <w:rFonts w:cs="David" w:hint="cs"/>
                <w:b/>
                <w:bCs/>
                <w:color w:val="0070C0"/>
                <w:sz w:val="20"/>
                <w:szCs w:val="20"/>
                <w:rtl/>
              </w:rPr>
              <w:t xml:space="preserve"> </w:t>
            </w:r>
          </w:p>
        </w:tc>
        <w:tc>
          <w:tcPr>
            <w:tcW w:w="2694" w:type="dxa"/>
            <w:gridSpan w:val="8"/>
            <w:tcBorders>
              <w:top w:val="nil"/>
              <w:left w:val="nil"/>
              <w:bottom w:val="single" w:sz="4" w:space="0" w:color="auto"/>
              <w:right w:val="nil"/>
            </w:tcBorders>
            <w:vAlign w:val="center"/>
          </w:tcPr>
          <w:p w14:paraId="08035EB7" w14:textId="77777777" w:rsidR="002835F6" w:rsidRPr="003A5DA7" w:rsidRDefault="002835F6" w:rsidP="004C40D3">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0455535F" w14:textId="77777777" w:rsidR="002835F6" w:rsidRPr="00F5215F" w:rsidRDefault="002835F6" w:rsidP="004C40D3">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47" w:type="dxa"/>
            <w:tcBorders>
              <w:top w:val="nil"/>
              <w:left w:val="nil"/>
              <w:bottom w:val="single" w:sz="4" w:space="0" w:color="auto"/>
              <w:right w:val="single" w:sz="4" w:space="0" w:color="auto"/>
            </w:tcBorders>
            <w:vAlign w:val="center"/>
          </w:tcPr>
          <w:p w14:paraId="586C2286" w14:textId="77777777" w:rsidR="002835F6" w:rsidRPr="007025EE" w:rsidRDefault="002835F6" w:rsidP="004C40D3">
            <w:pPr>
              <w:spacing w:line="276" w:lineRule="auto"/>
              <w:contextualSpacing/>
              <w:rPr>
                <w:rFonts w:cs="David"/>
                <w:b/>
                <w:bCs/>
                <w:color w:val="0070C0"/>
                <w:sz w:val="20"/>
                <w:szCs w:val="20"/>
                <w:rtl/>
              </w:rPr>
            </w:pPr>
          </w:p>
        </w:tc>
      </w:tr>
    </w:tbl>
    <w:p w14:paraId="348518AE" w14:textId="77777777" w:rsidR="002835F6" w:rsidRDefault="002835F6" w:rsidP="00304C81">
      <w:pPr>
        <w:contextualSpacing/>
        <w:jc w:val="center"/>
        <w:rPr>
          <w:rFonts w:hint="cs"/>
          <w:color w:val="0070C0"/>
          <w:rtl/>
        </w:rPr>
      </w:pPr>
    </w:p>
    <w:bookmarkEnd w:id="3"/>
    <w:p w14:paraId="3B60ADFC" w14:textId="332BE148" w:rsidR="00304C81" w:rsidRDefault="00ED0BF6"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1E0B96F3">
            <wp:simplePos x="0" y="0"/>
            <wp:positionH relativeFrom="margin">
              <wp:posOffset>478790</wp:posOffset>
            </wp:positionH>
            <wp:positionV relativeFrom="paragraph">
              <wp:posOffset>8255</wp:posOffset>
            </wp:positionV>
            <wp:extent cx="6165729" cy="1097280"/>
            <wp:effectExtent l="0" t="0" r="6985" b="762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165729" cy="1097280"/>
                    </a:xfrm>
                    <a:prstGeom prst="rect">
                      <a:avLst/>
                    </a:prstGeom>
                  </pic:spPr>
                </pic:pic>
              </a:graphicData>
            </a:graphic>
            <wp14:sizeRelH relativeFrom="page">
              <wp14:pctWidth>0</wp14:pctWidth>
            </wp14:sizeRelH>
            <wp14:sizeRelV relativeFrom="page">
              <wp14:pctHeight>0</wp14:pctHeight>
            </wp14:sizeRelV>
          </wp:anchor>
        </w:drawing>
      </w:r>
    </w:p>
    <w:p w14:paraId="06FF7ACF" w14:textId="360EB69C"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6C776D4A" w14:textId="77777777" w:rsidR="00304C81" w:rsidRDefault="00304C81" w:rsidP="00304C81">
      <w:pPr>
        <w:contextualSpacing/>
        <w:rPr>
          <w:rStyle w:val="Hyperlink"/>
          <w:rFonts w:cs="David"/>
          <w:b/>
          <w:bCs/>
          <w:color w:val="0070C0"/>
          <w:sz w:val="20"/>
          <w:szCs w:val="20"/>
          <w:u w:val="none"/>
          <w:rtl/>
          <w:lang w:eastAsia="he-IL"/>
        </w:rPr>
      </w:pPr>
    </w:p>
    <w:p w14:paraId="3CA8AE23" w14:textId="77777777" w:rsidR="00304C81" w:rsidRDefault="00304C81" w:rsidP="00304C81">
      <w:pPr>
        <w:contextualSpacing/>
        <w:rPr>
          <w:rStyle w:val="Hyperlink"/>
          <w:rFonts w:cs="David"/>
          <w:b/>
          <w:bCs/>
          <w:color w:val="0070C0"/>
          <w:sz w:val="20"/>
          <w:szCs w:val="20"/>
          <w:u w:val="none"/>
          <w:rtl/>
          <w:lang w:eastAsia="he-IL"/>
        </w:rPr>
      </w:pPr>
    </w:p>
    <w:p w14:paraId="2E2D511A" w14:textId="790A7F3B" w:rsidR="00304C81" w:rsidRDefault="00B96A4F" w:rsidP="00B96A4F">
      <w:pPr>
        <w:tabs>
          <w:tab w:val="left" w:pos="3939"/>
        </w:tabs>
        <w:contextualSpacing/>
        <w:rPr>
          <w:rStyle w:val="Hyperlink"/>
          <w:rFonts w:cs="David"/>
          <w:b/>
          <w:bCs/>
          <w:color w:val="0070C0"/>
          <w:sz w:val="20"/>
          <w:szCs w:val="20"/>
          <w:u w:val="none"/>
          <w:rtl/>
          <w:lang w:eastAsia="he-IL"/>
        </w:rPr>
      </w:pPr>
      <w:r>
        <w:rPr>
          <w:rStyle w:val="Hyperlink"/>
          <w:rFonts w:cs="David"/>
          <w:b/>
          <w:bCs/>
          <w:color w:val="0070C0"/>
          <w:sz w:val="20"/>
          <w:szCs w:val="20"/>
          <w:u w:val="none"/>
          <w:rtl/>
          <w:lang w:eastAsia="he-IL"/>
        </w:rPr>
        <w:tab/>
      </w:r>
    </w:p>
    <w:p w14:paraId="1FEFC1AD" w14:textId="1BA9E040" w:rsidR="00177064" w:rsidRDefault="00177064" w:rsidP="00B96A4F">
      <w:pPr>
        <w:pStyle w:val="-0"/>
        <w:tabs>
          <w:tab w:val="left" w:pos="282"/>
          <w:tab w:val="left" w:pos="423"/>
        </w:tabs>
        <w:bidi/>
        <w:contextualSpacing/>
        <w:jc w:val="left"/>
        <w:rPr>
          <w:rFonts w:ascii="David" w:hAnsi="David"/>
          <w:b/>
          <w:bCs/>
          <w:color w:val="FF0000"/>
          <w:szCs w:val="24"/>
          <w:rtl/>
        </w:rPr>
      </w:pPr>
    </w:p>
    <w:p w14:paraId="26A805DF" w14:textId="77777777" w:rsidR="00E404F4" w:rsidRDefault="00E404F4" w:rsidP="00E404F4">
      <w:pPr>
        <w:rPr>
          <w:rtl/>
        </w:rPr>
      </w:pPr>
      <w:r w:rsidRPr="00B96A4F">
        <w:rPr>
          <w:noProof/>
          <w:rtl/>
        </w:rPr>
        <w:drawing>
          <wp:anchor distT="0" distB="0" distL="114300" distR="114300" simplePos="0" relativeHeight="252023808" behindDoc="0" locked="0" layoutInCell="1" allowOverlap="1" wp14:anchorId="54FFE49D" wp14:editId="77F23D6A">
            <wp:simplePos x="0" y="0"/>
            <wp:positionH relativeFrom="margin">
              <wp:align>center</wp:align>
            </wp:positionH>
            <wp:positionV relativeFrom="paragraph">
              <wp:posOffset>82550</wp:posOffset>
            </wp:positionV>
            <wp:extent cx="5468056" cy="1240094"/>
            <wp:effectExtent l="0" t="0" r="0" b="0"/>
            <wp:wrapNone/>
            <wp:docPr id="7" name="תמונה 7" descr="משטר ומדינה פרסום לחי">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8056" cy="1240094"/>
                    </a:xfrm>
                    <a:prstGeom prst="rect">
                      <a:avLst/>
                    </a:prstGeom>
                    <a:noFill/>
                  </pic:spPr>
                </pic:pic>
              </a:graphicData>
            </a:graphic>
            <wp14:sizeRelH relativeFrom="page">
              <wp14:pctWidth>0</wp14:pctWidth>
            </wp14:sizeRelH>
            <wp14:sizeRelV relativeFrom="page">
              <wp14:pctHeight>0</wp14:pctHeight>
            </wp14:sizeRelV>
          </wp:anchor>
        </w:drawing>
      </w:r>
    </w:p>
    <w:p w14:paraId="16F5FE1A" w14:textId="77777777" w:rsidR="00E404F4" w:rsidRDefault="00E404F4" w:rsidP="00E404F4">
      <w:pPr>
        <w:rPr>
          <w:rtl/>
        </w:rPr>
      </w:pPr>
    </w:p>
    <w:p w14:paraId="7621E6DC" w14:textId="77777777" w:rsidR="00E404F4" w:rsidRDefault="00E404F4" w:rsidP="00E404F4">
      <w:pPr>
        <w:rPr>
          <w:rtl/>
        </w:rPr>
      </w:pPr>
    </w:p>
    <w:p w14:paraId="0DA287B3" w14:textId="77777777" w:rsidR="00E404F4" w:rsidRDefault="00E404F4" w:rsidP="00E404F4">
      <w:pPr>
        <w:rPr>
          <w:rtl/>
        </w:rPr>
      </w:pPr>
    </w:p>
    <w:p w14:paraId="2F3CA895" w14:textId="77777777" w:rsidR="00E404F4" w:rsidRDefault="00E404F4" w:rsidP="00E404F4">
      <w:pPr>
        <w:rPr>
          <w:rtl/>
        </w:rPr>
      </w:pPr>
    </w:p>
    <w:p w14:paraId="451C2BB4" w14:textId="77777777" w:rsidR="00E404F4" w:rsidRDefault="00E404F4" w:rsidP="00E404F4">
      <w:pPr>
        <w:rPr>
          <w:rtl/>
        </w:rPr>
      </w:pPr>
    </w:p>
    <w:p w14:paraId="64C56E7B" w14:textId="77777777" w:rsidR="00E404F4" w:rsidRDefault="00E404F4" w:rsidP="00E404F4">
      <w:pPr>
        <w:rPr>
          <w:rtl/>
        </w:rPr>
      </w:pPr>
    </w:p>
    <w:p w14:paraId="052C5993" w14:textId="77777777" w:rsidR="00E404F4" w:rsidRDefault="00E404F4" w:rsidP="00E404F4">
      <w:pPr>
        <w:rPr>
          <w:rtl/>
        </w:rPr>
      </w:pPr>
    </w:p>
    <w:p w14:paraId="11751DAB" w14:textId="77777777" w:rsidR="00E404F4" w:rsidRPr="006E57D3" w:rsidRDefault="00E404F4" w:rsidP="00E404F4"/>
    <w:p w14:paraId="76B46181" w14:textId="77777777" w:rsidR="00D04223" w:rsidRDefault="00D04223" w:rsidP="00D04223">
      <w:pPr>
        <w:contextualSpacing/>
        <w:jc w:val="center"/>
        <w:rPr>
          <w:rFonts w:cs="David"/>
          <w:b/>
          <w:bCs/>
          <w:color w:val="002060"/>
          <w:u w:val="single"/>
          <w:rtl/>
          <w:lang w:eastAsia="he-IL"/>
        </w:rPr>
      </w:pPr>
      <w:hyperlink r:id="rId23" w:history="1">
        <w:r w:rsidRPr="009E00AF">
          <w:rPr>
            <w:rStyle w:val="Hyperlink"/>
            <w:rFonts w:cs="David" w:hint="cs"/>
            <w:b/>
            <w:bCs/>
            <w:color w:val="002060"/>
            <w:rtl/>
            <w:lang w:eastAsia="he-IL"/>
          </w:rPr>
          <w:t xml:space="preserve">ארץ חמדה – קישור </w:t>
        </w:r>
        <w:proofErr w:type="spellStart"/>
        <w:r w:rsidRPr="009E00AF">
          <w:rPr>
            <w:rStyle w:val="Hyperlink"/>
            <w:rFonts w:cs="David" w:hint="cs"/>
            <w:b/>
            <w:bCs/>
            <w:color w:val="002060"/>
            <w:rtl/>
            <w:lang w:eastAsia="he-IL"/>
          </w:rPr>
          <w:t>לשו"ת</w:t>
        </w:r>
        <w:proofErr w:type="spellEnd"/>
        <w:r w:rsidRPr="009E00AF">
          <w:rPr>
            <w:rStyle w:val="Hyperlink"/>
            <w:rFonts w:cs="David" w:hint="cs"/>
            <w:b/>
            <w:bCs/>
            <w:color w:val="002060"/>
            <w:rtl/>
            <w:lang w:eastAsia="he-IL"/>
          </w:rPr>
          <w:t xml:space="preserve"> במראה הבזק באתר</w:t>
        </w:r>
      </w:hyperlink>
    </w:p>
    <w:p w14:paraId="010D8FAC" w14:textId="77777777" w:rsidR="00D04223" w:rsidRPr="00D71246" w:rsidRDefault="00D04223" w:rsidP="00D04223">
      <w:pPr>
        <w:contextualSpacing/>
        <w:jc w:val="center"/>
        <w:rPr>
          <w:rFonts w:cs="David"/>
          <w:b/>
          <w:bCs/>
          <w:color w:val="002060"/>
          <w:sz w:val="16"/>
          <w:szCs w:val="16"/>
          <w:u w:val="single"/>
          <w:lang w:eastAsia="he-IL"/>
        </w:rPr>
      </w:pPr>
    </w:p>
    <w:p w14:paraId="004D6C11" w14:textId="77777777" w:rsidR="00D04223" w:rsidRDefault="00D04223" w:rsidP="00D0422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4" w:history="1">
        <w:r w:rsidRPr="00DD6714">
          <w:rPr>
            <w:color w:val="0070C0"/>
          </w:rPr>
          <w:t>info@eretzhemdah.org</w:t>
        </w:r>
      </w:hyperlink>
    </w:p>
    <w:p w14:paraId="3B65BFB5" w14:textId="77777777" w:rsidR="00E404F4" w:rsidRPr="00B96A4F" w:rsidRDefault="00E404F4" w:rsidP="00E404F4">
      <w:pPr>
        <w:pStyle w:val="-0"/>
        <w:tabs>
          <w:tab w:val="left" w:pos="282"/>
          <w:tab w:val="left" w:pos="423"/>
        </w:tabs>
        <w:bidi/>
        <w:contextualSpacing/>
        <w:jc w:val="left"/>
        <w:rPr>
          <w:rFonts w:ascii="David" w:hAnsi="David"/>
          <w:b/>
          <w:bCs/>
          <w:color w:val="FF0000"/>
          <w:szCs w:val="24"/>
          <w:rtl/>
        </w:rPr>
      </w:pPr>
    </w:p>
    <w:sectPr w:rsidR="00E404F4" w:rsidRPr="00B96A4F" w:rsidSect="005D10D2">
      <w:headerReference w:type="default" r:id="rId25"/>
      <w:headerReference w:type="first" r:id="rId26"/>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5EDD4C4" w:rsidR="003056AF" w:rsidRPr="00FA505B" w:rsidRDefault="00E404F4"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תולדות</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4"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6"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3"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0"/>
  </w:num>
  <w:num w:numId="3">
    <w:abstractNumId w:val="34"/>
  </w:num>
  <w:num w:numId="4">
    <w:abstractNumId w:val="36"/>
  </w:num>
  <w:num w:numId="5">
    <w:abstractNumId w:val="13"/>
  </w:num>
  <w:num w:numId="6">
    <w:abstractNumId w:val="23"/>
  </w:num>
  <w:num w:numId="7">
    <w:abstractNumId w:val="18"/>
  </w:num>
  <w:num w:numId="8">
    <w:abstractNumId w:val="9"/>
  </w:num>
  <w:num w:numId="9">
    <w:abstractNumId w:val="16"/>
  </w:num>
  <w:num w:numId="10">
    <w:abstractNumId w:val="37"/>
  </w:num>
  <w:num w:numId="11">
    <w:abstractNumId w:val="21"/>
  </w:num>
  <w:num w:numId="12">
    <w:abstractNumId w:val="29"/>
  </w:num>
  <w:num w:numId="13">
    <w:abstractNumId w:val="22"/>
  </w:num>
  <w:num w:numId="14">
    <w:abstractNumId w:val="4"/>
  </w:num>
  <w:num w:numId="15">
    <w:abstractNumId w:val="24"/>
  </w:num>
  <w:num w:numId="16">
    <w:abstractNumId w:val="26"/>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5"/>
  </w:num>
  <w:num w:numId="21">
    <w:abstractNumId w:val="14"/>
  </w:num>
  <w:num w:numId="22">
    <w:abstractNumId w:val="30"/>
  </w:num>
  <w:num w:numId="23">
    <w:abstractNumId w:val="11"/>
  </w:num>
  <w:num w:numId="24">
    <w:abstractNumId w:val="32"/>
  </w:num>
  <w:num w:numId="25">
    <w:abstractNumId w:val="2"/>
  </w:num>
  <w:num w:numId="26">
    <w:abstractNumId w:val="8"/>
  </w:num>
  <w:num w:numId="27">
    <w:abstractNumId w:val="15"/>
  </w:num>
  <w:num w:numId="28">
    <w:abstractNumId w:val="7"/>
  </w:num>
  <w:num w:numId="29">
    <w:abstractNumId w:val="31"/>
  </w:num>
  <w:num w:numId="30">
    <w:abstractNumId w:val="33"/>
  </w:num>
  <w:num w:numId="31">
    <w:abstractNumId w:val="27"/>
  </w:num>
  <w:num w:numId="32">
    <w:abstractNumId w:val="5"/>
  </w:num>
  <w:num w:numId="33">
    <w:abstractNumId w:val="35"/>
  </w:num>
  <w:num w:numId="34">
    <w:abstractNumId w:val="38"/>
  </w:num>
  <w:num w:numId="35">
    <w:abstractNumId w:val="10"/>
  </w:num>
  <w:num w:numId="36">
    <w:abstractNumId w:val="28"/>
  </w:num>
  <w:num w:numId="37">
    <w:abstractNumId w:val="12"/>
  </w:num>
  <w:num w:numId="38">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710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625"/>
    <w:rsid w:val="0031280B"/>
    <w:rsid w:val="00312A3A"/>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B3"/>
    <w:rsid w:val="00CF56F2"/>
    <w:rsid w:val="00CF5746"/>
    <w:rsid w:val="00CF6025"/>
    <w:rsid w:val="00CF6A5F"/>
    <w:rsid w:val="00CF6DE5"/>
    <w:rsid w:val="00CF6E95"/>
    <w:rsid w:val="00CF74CE"/>
    <w:rsid w:val="00CF7738"/>
    <w:rsid w:val="00CF7A2B"/>
    <w:rsid w:val="00D00334"/>
    <w:rsid w:val="00D00446"/>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F9A"/>
    <w:rsid w:val="00D516B8"/>
    <w:rsid w:val="00D51E01"/>
    <w:rsid w:val="00D52100"/>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F38"/>
    <w:rsid w:val="00F041EB"/>
    <w:rsid w:val="00F041F2"/>
    <w:rsid w:val="00F0452F"/>
    <w:rsid w:val="00F04682"/>
    <w:rsid w:val="00F049B9"/>
    <w:rsid w:val="00F05034"/>
    <w:rsid w:val="00F050C3"/>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7105"/>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0"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074"/>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eretzhemdah.org/publications.asp?lang=he&amp;pa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eretzhemdah.org/content.asp?PageId=8&amp;lang=he"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retzhemdah.org/Data/UploadedFiles/SitePages/4565-sFileRedir.pdf"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mailto:info@eretzhemdah.or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eretzhemdah.org/ebooks.asp?lang=he&amp;top=1&amp;pageid=28"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8.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3159</Words>
  <Characters>14627</Characters>
  <Application>Microsoft Office Word</Application>
  <DocSecurity>0</DocSecurity>
  <Lines>121</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2024-05-09T09:44:00Z</cp:lastPrinted>
  <dcterms:created xsi:type="dcterms:W3CDTF">2024-11-25T10:11:00Z</dcterms:created>
  <dcterms:modified xsi:type="dcterms:W3CDTF">2024-11-28T12:08:00Z</dcterms:modified>
</cp:coreProperties>
</file>