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658CE3DE"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9F45D9">
              <w:rPr>
                <w:rFonts w:ascii="Arial Black" w:hAnsi="Arial Black" w:cs="David" w:hint="cs"/>
                <w:b/>
                <w:bCs/>
                <w:iCs/>
                <w:color w:val="993300"/>
                <w:sz w:val="48"/>
                <w:szCs w:val="48"/>
                <w:rtl/>
              </w:rPr>
              <w:t>שמות</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486BE11C" w14:textId="30440624" w:rsidR="00597AEA" w:rsidRDefault="00597AEA" w:rsidP="00597AEA">
            <w:pPr>
              <w:ind w:left="312" w:right="454"/>
              <w:jc w:val="center"/>
              <w:rPr>
                <w:rFonts w:ascii="FrankRuehl" w:hAnsi="FrankRuehl" w:cs="FrankRuehl"/>
                <w:b/>
                <w:bCs/>
                <w:color w:val="0070C0"/>
                <w:sz w:val="32"/>
                <w:szCs w:val="32"/>
                <w:rtl/>
              </w:rPr>
            </w:pPr>
            <w:bookmarkStart w:id="1" w:name="_Hlk184807529"/>
            <w:proofErr w:type="spellStart"/>
            <w:r w:rsidRPr="00597AEA">
              <w:rPr>
                <w:rFonts w:ascii="FrankRuehl" w:hAnsi="FrankRuehl" w:cs="FrankRuehl"/>
                <w:b/>
                <w:bCs/>
                <w:color w:val="0070C0"/>
                <w:sz w:val="32"/>
                <w:szCs w:val="32"/>
                <w:rtl/>
              </w:rPr>
              <w:t>קָדְקֹד</w:t>
            </w:r>
            <w:r w:rsidRPr="00597AEA">
              <w:rPr>
                <w:rFonts w:ascii="FrankRuehl" w:hAnsi="FrankRuehl" w:cs="FrankRuehl" w:hint="cs"/>
                <w:b/>
                <w:bCs/>
                <w:color w:val="0070C0"/>
                <w:sz w:val="32"/>
                <w:szCs w:val="32"/>
                <w:rtl/>
              </w:rPr>
              <w:t>ים</w:t>
            </w:r>
            <w:proofErr w:type="spellEnd"/>
            <w:r w:rsidRPr="00597AEA">
              <w:rPr>
                <w:rFonts w:ascii="FrankRuehl" w:hAnsi="FrankRuehl" w:cs="FrankRuehl" w:hint="cs"/>
                <w:b/>
                <w:bCs/>
                <w:color w:val="0070C0"/>
                <w:sz w:val="32"/>
                <w:szCs w:val="32"/>
                <w:rtl/>
              </w:rPr>
              <w:t xml:space="preserve"> בני יוסף, עד מתי? </w:t>
            </w:r>
          </w:p>
          <w:p w14:paraId="3CAC6BDE" w14:textId="2FD33E11" w:rsidR="00597AEA" w:rsidRPr="00597AEA" w:rsidRDefault="00597AEA" w:rsidP="00597AEA">
            <w:pPr>
              <w:ind w:left="312" w:right="454"/>
              <w:jc w:val="center"/>
              <w:rPr>
                <w:rFonts w:ascii="FrankRuehl" w:hAnsi="FrankRuehl" w:cs="FrankRuehl"/>
                <w:b/>
                <w:bCs/>
                <w:color w:val="0070C0"/>
                <w:sz w:val="10"/>
                <w:szCs w:val="10"/>
                <w:rtl/>
              </w:rPr>
            </w:pPr>
            <w:r>
              <w:rPr>
                <w:rFonts w:ascii="FrankRuehl" w:hAnsi="FrankRuehl" w:cs="FrankRuehl" w:hint="cs"/>
                <w:b/>
                <w:bCs/>
                <w:color w:val="0070C0"/>
                <w:sz w:val="10"/>
                <w:szCs w:val="10"/>
                <w:rtl/>
              </w:rPr>
              <w:t>---------------------------------------------------------------------------------</w:t>
            </w:r>
          </w:p>
          <w:p w14:paraId="3C30A566" w14:textId="5BD1DDD6" w:rsidR="00313B91" w:rsidRPr="00D037B4" w:rsidRDefault="00E8510C" w:rsidP="003E1775">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072D259B" w14:textId="77777777" w:rsidR="00AE3CB9" w:rsidRPr="00AE3CB9" w:rsidRDefault="00AE3CB9" w:rsidP="00AE3CB9">
            <w:pPr>
              <w:ind w:left="28"/>
              <w:rPr>
                <w:rFonts w:ascii="David" w:hAnsi="David" w:cs="David"/>
                <w:sz w:val="12"/>
                <w:szCs w:val="12"/>
                <w:rtl/>
              </w:rPr>
            </w:pPr>
            <w:bookmarkStart w:id="2" w:name="_Hlk184807492"/>
          </w:p>
          <w:p w14:paraId="1FE75A06" w14:textId="4464B2C7" w:rsidR="00597AEA" w:rsidRDefault="00597AEA" w:rsidP="00597AEA">
            <w:pPr>
              <w:ind w:left="320"/>
              <w:rPr>
                <w:rFonts w:ascii="David" w:hAnsi="David" w:cs="David"/>
                <w:sz w:val="23"/>
                <w:szCs w:val="23"/>
                <w:rtl/>
              </w:rPr>
            </w:pPr>
            <w:r w:rsidRPr="00597AEA">
              <w:rPr>
                <w:rFonts w:ascii="David" w:hAnsi="David" w:cs="David" w:hint="cs"/>
                <w:sz w:val="23"/>
                <w:szCs w:val="23"/>
                <w:rtl/>
              </w:rPr>
              <w:t>"</w:t>
            </w:r>
            <w:r w:rsidRPr="00597AEA">
              <w:rPr>
                <w:rFonts w:ascii="FrankRuehl" w:hAnsi="FrankRuehl" w:cs="FrankRuehl"/>
                <w:sz w:val="25"/>
                <w:szCs w:val="25"/>
                <w:rtl/>
              </w:rPr>
              <w:t xml:space="preserve">בִּרְכֹת אָבִיךָ גָּבְרוּ עַל בִּרְכֹת הוֹרַי עַד </w:t>
            </w:r>
            <w:proofErr w:type="spellStart"/>
            <w:r w:rsidRPr="00597AEA">
              <w:rPr>
                <w:rFonts w:ascii="FrankRuehl" w:hAnsi="FrankRuehl" w:cs="FrankRuehl"/>
                <w:sz w:val="25"/>
                <w:szCs w:val="25"/>
                <w:rtl/>
              </w:rPr>
              <w:t>תַּאֲוַת</w:t>
            </w:r>
            <w:proofErr w:type="spellEnd"/>
            <w:r w:rsidRPr="00597AEA">
              <w:rPr>
                <w:rFonts w:ascii="FrankRuehl" w:hAnsi="FrankRuehl" w:cs="FrankRuehl"/>
                <w:sz w:val="25"/>
                <w:szCs w:val="25"/>
                <w:rtl/>
              </w:rPr>
              <w:t xml:space="preserve"> גִּבְעֹת עוֹלָם </w:t>
            </w:r>
            <w:proofErr w:type="spellStart"/>
            <w:r w:rsidRPr="00597AEA">
              <w:rPr>
                <w:rFonts w:ascii="FrankRuehl" w:hAnsi="FrankRuehl" w:cs="FrankRuehl"/>
                <w:b/>
                <w:bCs/>
                <w:sz w:val="25"/>
                <w:szCs w:val="25"/>
                <w:rtl/>
              </w:rPr>
              <w:t>תִּהְיֶין</w:t>
            </w:r>
            <w:proofErr w:type="spellEnd"/>
            <w:r w:rsidRPr="00597AEA">
              <w:rPr>
                <w:rFonts w:ascii="FrankRuehl" w:hAnsi="FrankRuehl" w:cs="FrankRuehl"/>
                <w:b/>
                <w:bCs/>
                <w:sz w:val="25"/>
                <w:szCs w:val="25"/>
                <w:rtl/>
              </w:rPr>
              <w:t xml:space="preserve">ָ לְרֹאשׁ יוֹסֵף </w:t>
            </w:r>
            <w:proofErr w:type="spellStart"/>
            <w:r w:rsidRPr="00597AEA">
              <w:rPr>
                <w:rFonts w:ascii="FrankRuehl" w:hAnsi="FrankRuehl" w:cs="FrankRuehl"/>
                <w:b/>
                <w:bCs/>
                <w:sz w:val="25"/>
                <w:szCs w:val="25"/>
                <w:rtl/>
              </w:rPr>
              <w:t>וּלְקָדְקֹד</w:t>
            </w:r>
            <w:proofErr w:type="spellEnd"/>
            <w:r w:rsidRPr="00597AEA">
              <w:rPr>
                <w:rFonts w:ascii="FrankRuehl" w:hAnsi="FrankRuehl" w:cs="FrankRuehl"/>
                <w:b/>
                <w:bCs/>
                <w:sz w:val="25"/>
                <w:szCs w:val="25"/>
                <w:rtl/>
              </w:rPr>
              <w:t xml:space="preserve"> נְזִיר</w:t>
            </w:r>
            <w:r w:rsidRPr="00597AEA">
              <w:rPr>
                <w:rFonts w:ascii="FrankRuehl" w:hAnsi="FrankRuehl" w:cs="FrankRuehl"/>
                <w:sz w:val="25"/>
                <w:szCs w:val="25"/>
                <w:rtl/>
              </w:rPr>
              <w:t xml:space="preserve"> </w:t>
            </w:r>
            <w:r w:rsidRPr="00597AEA">
              <w:rPr>
                <w:rFonts w:ascii="FrankRuehl" w:hAnsi="FrankRuehl" w:cs="FrankRuehl"/>
                <w:b/>
                <w:bCs/>
                <w:sz w:val="25"/>
                <w:szCs w:val="25"/>
                <w:rtl/>
              </w:rPr>
              <w:t>אֶחָיו</w:t>
            </w:r>
            <w:r w:rsidRPr="00597AEA">
              <w:rPr>
                <w:rFonts w:ascii="FrankRuehl" w:hAnsi="FrankRuehl" w:cs="FrankRuehl"/>
                <w:rtl/>
              </w:rPr>
              <w:t xml:space="preserve">" </w:t>
            </w:r>
            <w:r w:rsidRPr="00597AEA">
              <w:rPr>
                <w:rFonts w:ascii="David" w:hAnsi="David" w:cs="David" w:hint="cs"/>
                <w:sz w:val="20"/>
                <w:szCs w:val="20"/>
                <w:rtl/>
              </w:rPr>
              <w:t xml:space="preserve">(בראשית </w:t>
            </w:r>
            <w:r w:rsidRPr="00597AEA">
              <w:rPr>
                <w:rFonts w:ascii="David" w:hAnsi="David" w:cs="David"/>
                <w:sz w:val="20"/>
                <w:szCs w:val="20"/>
                <w:rtl/>
              </w:rPr>
              <w:t>מט</w:t>
            </w:r>
            <w:r w:rsidR="0021549E">
              <w:rPr>
                <w:rFonts w:ascii="David" w:hAnsi="David" w:cs="David" w:hint="cs"/>
                <w:sz w:val="20"/>
                <w:szCs w:val="20"/>
                <w:rtl/>
              </w:rPr>
              <w:t>,</w:t>
            </w:r>
            <w:r w:rsidRPr="00597AEA">
              <w:rPr>
                <w:rFonts w:ascii="David" w:hAnsi="David" w:cs="David"/>
                <w:sz w:val="20"/>
                <w:szCs w:val="20"/>
                <w:rtl/>
              </w:rPr>
              <w:t xml:space="preserve"> </w:t>
            </w:r>
            <w:proofErr w:type="spellStart"/>
            <w:r w:rsidRPr="00597AEA">
              <w:rPr>
                <w:rFonts w:ascii="David" w:hAnsi="David" w:cs="David"/>
                <w:sz w:val="20"/>
                <w:szCs w:val="20"/>
                <w:rtl/>
              </w:rPr>
              <w:t>כו</w:t>
            </w:r>
            <w:proofErr w:type="spellEnd"/>
            <w:r w:rsidRPr="00597AEA">
              <w:rPr>
                <w:rFonts w:ascii="David" w:hAnsi="David" w:cs="David" w:hint="cs"/>
                <w:sz w:val="20"/>
                <w:szCs w:val="20"/>
                <w:rtl/>
              </w:rPr>
              <w:t>).</w:t>
            </w:r>
            <w:r w:rsidRPr="00597AEA">
              <w:rPr>
                <w:rFonts w:ascii="David" w:hAnsi="David" w:cs="David" w:hint="cs"/>
                <w:sz w:val="23"/>
                <w:szCs w:val="23"/>
                <w:rtl/>
              </w:rPr>
              <w:t xml:space="preserve"> </w:t>
            </w:r>
          </w:p>
          <w:p w14:paraId="25218438" w14:textId="77777777" w:rsidR="0021549E" w:rsidRDefault="00597AEA" w:rsidP="00597AEA">
            <w:pPr>
              <w:ind w:left="28"/>
              <w:rPr>
                <w:rFonts w:ascii="David" w:hAnsi="David" w:cs="David"/>
                <w:sz w:val="23"/>
                <w:szCs w:val="23"/>
                <w:rtl/>
              </w:rPr>
            </w:pPr>
            <w:r w:rsidRPr="00597AEA">
              <w:rPr>
                <w:rFonts w:ascii="David" w:hAnsi="David" w:cs="David" w:hint="cs"/>
                <w:sz w:val="23"/>
                <w:szCs w:val="23"/>
                <w:rtl/>
              </w:rPr>
              <w:t xml:space="preserve">בהכרזה זו של יעקב אבינו, בסוף ספר בראשית, מוכרעת מנהיגותו של יוסף באופן ברור. </w:t>
            </w:r>
          </w:p>
          <w:p w14:paraId="01A0B88B" w14:textId="662B45CC"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נשים לב להדגשה משולשת: </w:t>
            </w:r>
          </w:p>
          <w:p w14:paraId="0DD46778"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א. ברכת האבות מועברת מיעקב, במיוחד ליוסף ואף למעלה מזה, בלשון הכתוב: </w:t>
            </w:r>
            <w:r w:rsidRPr="00597AEA">
              <w:rPr>
                <w:rFonts w:ascii="FrankRuehl" w:hAnsi="FrankRuehl" w:cs="FrankRuehl"/>
                <w:rtl/>
              </w:rPr>
              <w:t>גָּבְרוּ.</w:t>
            </w:r>
          </w:p>
          <w:p w14:paraId="28921833"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ב. שני ביטויים מדגישים את היותו של יוסף הראש: </w:t>
            </w:r>
            <w:r w:rsidRPr="00597AEA">
              <w:rPr>
                <w:rFonts w:ascii="FrankRuehl" w:hAnsi="FrankRuehl" w:cs="FrankRuehl"/>
                <w:rtl/>
              </w:rPr>
              <w:t xml:space="preserve">לְרֹאשׁ </w:t>
            </w:r>
            <w:proofErr w:type="spellStart"/>
            <w:r w:rsidRPr="00597AEA">
              <w:rPr>
                <w:rFonts w:ascii="FrankRuehl" w:hAnsi="FrankRuehl" w:cs="FrankRuehl"/>
                <w:rtl/>
              </w:rPr>
              <w:t>וּלְקָדְקֹד</w:t>
            </w:r>
            <w:proofErr w:type="spellEnd"/>
            <w:r w:rsidRPr="00597AEA">
              <w:rPr>
                <w:rFonts w:ascii="FrankRuehl" w:hAnsi="FrankRuehl" w:cs="FrankRuehl"/>
                <w:rtl/>
              </w:rPr>
              <w:t>.</w:t>
            </w:r>
            <w:r w:rsidRPr="00597AEA">
              <w:rPr>
                <w:rFonts w:ascii="David" w:hAnsi="David" w:cs="David" w:hint="cs"/>
                <w:sz w:val="23"/>
                <w:szCs w:val="23"/>
                <w:rtl/>
              </w:rPr>
              <w:t xml:space="preserve"> </w:t>
            </w:r>
          </w:p>
          <w:p w14:paraId="07B724F3"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ג. הכתר - הנזר הוא של יוסף. </w:t>
            </w:r>
          </w:p>
          <w:p w14:paraId="67007719" w14:textId="3CE30C9B"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לכאורה, בתחילת ספר שמות ההנהגה עברה לשבט לוי, שאותו יעקב אבינו ביקר קשות. כדי לבדוק זאת, ננסה להבין מה קרה במצרים אחרי מות יוסף? ומה קרה כשמשה הלוי סיים את תפקידו כמנהיג, בערב הכניסה לארץ?</w:t>
            </w:r>
          </w:p>
          <w:p w14:paraId="17E5E44C"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נתחיל בבירור השאלה הראשונה. לכאורה, אין לנו הרבה פרטים על התקופה הארוכה שבין שני הפסוקים:</w:t>
            </w:r>
          </w:p>
          <w:p w14:paraId="6973EA1C" w14:textId="3D29F80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א. </w:t>
            </w:r>
            <w:r w:rsidRPr="00A02C25">
              <w:rPr>
                <w:rFonts w:ascii="FrankRuehl" w:hAnsi="FrankRuehl" w:cs="FrankRuehl"/>
                <w:rtl/>
              </w:rPr>
              <w:t>"וַיָּמָת</w:t>
            </w:r>
            <w:r w:rsidRPr="001D2E66">
              <w:rPr>
                <w:rFonts w:ascii="FrankRuehl" w:hAnsi="FrankRuehl" w:cs="FrankRuehl"/>
                <w:rtl/>
              </w:rPr>
              <w:t xml:space="preserve"> יוֹסֵף בֶּן מֵאָה וָעֶשֶׂר שָׁנִים וַיַּחַנְטוּ אֹתוֹ וַיִּישֶׂם בָּאָרוֹן בְּמִצְרָיִם</w:t>
            </w:r>
            <w:r w:rsidRPr="00A02C25">
              <w:rPr>
                <w:rFonts w:ascii="FrankRuehl" w:hAnsi="FrankRuehl" w:cs="FrankRuehl"/>
                <w:rtl/>
              </w:rPr>
              <w:t>"</w:t>
            </w:r>
            <w:r w:rsidRPr="00597AEA">
              <w:rPr>
                <w:rFonts w:ascii="David" w:hAnsi="David" w:cs="David" w:hint="cs"/>
                <w:sz w:val="23"/>
                <w:szCs w:val="23"/>
                <w:rtl/>
              </w:rPr>
              <w:t xml:space="preserve"> </w:t>
            </w:r>
            <w:r w:rsidRPr="00597AEA">
              <w:rPr>
                <w:rFonts w:ascii="David" w:hAnsi="David" w:cs="David" w:hint="cs"/>
                <w:sz w:val="20"/>
                <w:szCs w:val="20"/>
                <w:rtl/>
              </w:rPr>
              <w:t>(הפסוק האחרון בספר בראשית)</w:t>
            </w:r>
            <w:r w:rsidR="0021549E">
              <w:rPr>
                <w:rFonts w:ascii="David" w:hAnsi="David" w:cs="David" w:hint="cs"/>
                <w:sz w:val="23"/>
                <w:szCs w:val="23"/>
                <w:rtl/>
              </w:rPr>
              <w:t>.</w:t>
            </w:r>
            <w:r w:rsidRPr="00597AEA">
              <w:rPr>
                <w:rFonts w:ascii="David" w:hAnsi="David" w:cs="David" w:hint="cs"/>
                <w:sz w:val="23"/>
                <w:szCs w:val="23"/>
                <w:rtl/>
              </w:rPr>
              <w:t xml:space="preserve"> </w:t>
            </w:r>
          </w:p>
          <w:p w14:paraId="1EE91E59"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ב. </w:t>
            </w:r>
            <w:r w:rsidRPr="00597AEA">
              <w:rPr>
                <w:rFonts w:ascii="FrankRuehl" w:hAnsi="FrankRuehl" w:cs="FrankRuehl"/>
                <w:rtl/>
              </w:rPr>
              <w:t>"</w:t>
            </w:r>
            <w:proofErr w:type="spellStart"/>
            <w:r w:rsidRPr="00597AEA">
              <w:rPr>
                <w:rFonts w:ascii="FrankRuehl" w:hAnsi="FrankRuehl" w:cs="FrankRuehl"/>
                <w:rtl/>
              </w:rPr>
              <w:t>וַיָּקָם</w:t>
            </w:r>
            <w:proofErr w:type="spellEnd"/>
            <w:r w:rsidRPr="00597AEA">
              <w:rPr>
                <w:rFonts w:ascii="FrankRuehl" w:hAnsi="FrankRuehl" w:cs="FrankRuehl"/>
                <w:rtl/>
              </w:rPr>
              <w:t xml:space="preserve"> מֶלֶךְ חָדָשׁ עַל מִצְרָיִם אֲשֶׁר לֹא יָדַע אֶת יוֹסֵף"</w:t>
            </w:r>
            <w:r w:rsidRPr="00597AEA">
              <w:rPr>
                <w:rFonts w:ascii="David" w:hAnsi="David" w:cs="David"/>
                <w:sz w:val="23"/>
                <w:szCs w:val="23"/>
                <w:rtl/>
              </w:rPr>
              <w:t xml:space="preserve"> </w:t>
            </w:r>
            <w:r w:rsidRPr="00597AEA">
              <w:rPr>
                <w:rFonts w:ascii="David" w:hAnsi="David" w:cs="David" w:hint="cs"/>
                <w:sz w:val="20"/>
                <w:szCs w:val="20"/>
                <w:rtl/>
              </w:rPr>
              <w:t>(</w:t>
            </w:r>
            <w:r w:rsidRPr="00597AEA">
              <w:rPr>
                <w:rFonts w:ascii="David" w:hAnsi="David" w:cs="David"/>
                <w:sz w:val="20"/>
                <w:szCs w:val="20"/>
                <w:rtl/>
              </w:rPr>
              <w:t xml:space="preserve">שמות </w:t>
            </w:r>
            <w:r w:rsidRPr="00597AEA">
              <w:rPr>
                <w:rFonts w:ascii="David" w:hAnsi="David" w:cs="David" w:hint="cs"/>
                <w:sz w:val="20"/>
                <w:szCs w:val="20"/>
                <w:rtl/>
              </w:rPr>
              <w:t>א, ח</w:t>
            </w:r>
            <w:r w:rsidRPr="00597AEA">
              <w:rPr>
                <w:rFonts w:ascii="David" w:hAnsi="David" w:cs="David"/>
                <w:sz w:val="20"/>
                <w:szCs w:val="20"/>
                <w:rtl/>
              </w:rPr>
              <w:t>)</w:t>
            </w:r>
            <w:r w:rsidRPr="00597AEA">
              <w:rPr>
                <w:rFonts w:ascii="David" w:hAnsi="David" w:cs="David" w:hint="cs"/>
                <w:sz w:val="20"/>
                <w:szCs w:val="20"/>
                <w:rtl/>
              </w:rPr>
              <w:t>.</w:t>
            </w:r>
            <w:r w:rsidRPr="00597AEA">
              <w:rPr>
                <w:rFonts w:ascii="David" w:hAnsi="David" w:cs="David" w:hint="cs"/>
                <w:sz w:val="23"/>
                <w:szCs w:val="23"/>
                <w:rtl/>
              </w:rPr>
              <w:t xml:space="preserve"> </w:t>
            </w:r>
          </w:p>
          <w:p w14:paraId="703DFE91"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נחפש את התשובה, כמנהגנו, במקום אחר בתנ"ך. </w:t>
            </w:r>
          </w:p>
          <w:p w14:paraId="155BF066"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בספר תהילים אנו מוצאים:</w:t>
            </w:r>
            <w:r w:rsidRPr="00597AEA">
              <w:rPr>
                <w:rFonts w:ascii="David" w:hAnsi="David" w:cs="David" w:hint="cs"/>
                <w:sz w:val="23"/>
                <w:szCs w:val="23"/>
              </w:rPr>
              <w:t xml:space="preserve"> </w:t>
            </w:r>
            <w:r w:rsidRPr="00597AEA">
              <w:rPr>
                <w:rFonts w:ascii="FrankRuehl" w:hAnsi="FrankRuehl" w:cs="FrankRuehl"/>
                <w:rtl/>
              </w:rPr>
              <w:t>"בְּנֵי אֶפְרַיִם נוֹשְׁקֵי רוֹמֵי קָשֶׁת הָפְכוּ בְּיוֹם קְרָב"</w:t>
            </w:r>
            <w:r w:rsidRPr="00597AEA">
              <w:rPr>
                <w:rFonts w:ascii="David" w:hAnsi="David" w:cs="David"/>
                <w:sz w:val="23"/>
                <w:szCs w:val="23"/>
                <w:rtl/>
              </w:rPr>
              <w:t xml:space="preserve"> </w:t>
            </w:r>
            <w:r w:rsidRPr="00597AEA">
              <w:rPr>
                <w:rFonts w:ascii="David" w:hAnsi="David" w:cs="David" w:hint="cs"/>
                <w:sz w:val="20"/>
                <w:szCs w:val="20"/>
                <w:rtl/>
              </w:rPr>
              <w:t>(</w:t>
            </w:r>
            <w:proofErr w:type="spellStart"/>
            <w:r w:rsidRPr="00597AEA">
              <w:rPr>
                <w:rFonts w:ascii="David" w:hAnsi="David" w:cs="David"/>
                <w:sz w:val="20"/>
                <w:szCs w:val="20"/>
                <w:rtl/>
              </w:rPr>
              <w:t>עח</w:t>
            </w:r>
            <w:proofErr w:type="spellEnd"/>
            <w:r w:rsidRPr="00597AEA">
              <w:rPr>
                <w:rFonts w:ascii="David" w:hAnsi="David" w:cs="David" w:hint="cs"/>
                <w:sz w:val="20"/>
                <w:szCs w:val="20"/>
                <w:rtl/>
              </w:rPr>
              <w:t xml:space="preserve">, </w:t>
            </w:r>
            <w:r w:rsidRPr="00597AEA">
              <w:rPr>
                <w:rFonts w:ascii="David" w:hAnsi="David" w:cs="David"/>
                <w:sz w:val="20"/>
                <w:szCs w:val="20"/>
                <w:rtl/>
              </w:rPr>
              <w:t>ט</w:t>
            </w:r>
            <w:r w:rsidRPr="00597AEA">
              <w:rPr>
                <w:rFonts w:ascii="David" w:hAnsi="David" w:cs="David" w:hint="cs"/>
                <w:sz w:val="20"/>
                <w:szCs w:val="20"/>
                <w:rtl/>
              </w:rPr>
              <w:t>).</w:t>
            </w:r>
            <w:r w:rsidRPr="00597AEA">
              <w:rPr>
                <w:rFonts w:ascii="David" w:hAnsi="David" w:cs="David" w:hint="cs"/>
                <w:sz w:val="23"/>
                <w:szCs w:val="23"/>
                <w:rtl/>
              </w:rPr>
              <w:t xml:space="preserve"> פסוק זה מופיע בפרק המתאר את הניסים שאירעו בזמן יציאת מצרים ובמדבר ומשמש להם כהקדמה. </w:t>
            </w:r>
          </w:p>
          <w:p w14:paraId="032225F1"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חז"ל אכן הבינו שפסוק זה מתאר מאורע שהתרחש לפני יציאת מצרים, ושלחו אותנו למקור נוסף בתנ"ך - בספר דברי הימים א', העוסק באותו נושא: </w:t>
            </w:r>
            <w:r w:rsidRPr="00597AEA">
              <w:rPr>
                <w:rFonts w:ascii="FrankRuehl" w:hAnsi="FrankRuehl" w:cs="FrankRuehl"/>
                <w:rtl/>
              </w:rPr>
              <w:t xml:space="preserve">"וּבְנֵי אֶפְרַיִם </w:t>
            </w:r>
            <w:proofErr w:type="spellStart"/>
            <w:r w:rsidRPr="00597AEA">
              <w:rPr>
                <w:rFonts w:ascii="FrankRuehl" w:hAnsi="FrankRuehl" w:cs="FrankRuehl"/>
                <w:rtl/>
              </w:rPr>
              <w:t>שׁוּתָלַח</w:t>
            </w:r>
            <w:proofErr w:type="spellEnd"/>
            <w:r w:rsidRPr="00597AEA">
              <w:rPr>
                <w:rFonts w:ascii="FrankRuehl" w:hAnsi="FrankRuehl" w:cs="FrankRuehl"/>
                <w:rtl/>
              </w:rPr>
              <w:t xml:space="preserve"> וּבֶרֶד בְּנוֹ ... וְעֵזֶר וְאֶלְעָד וַהֲרָגוּם אַנְשֵׁי גַת הַנּוֹלָדִים בָּאָרֶץ כִּי יָרְדוּ לָקַחַת אֶת מִקְנֵיהֶם: וַיִּתְאַבֵּל אֶפְרַיִם אֲבִיהֶם יָמִים רַבִּים וַיָּבֹאוּ אֶחָיו לְנַחֲמוֹ"</w:t>
            </w:r>
            <w:r w:rsidRPr="00597AEA">
              <w:rPr>
                <w:rFonts w:ascii="David" w:hAnsi="David" w:cs="David"/>
                <w:sz w:val="23"/>
                <w:szCs w:val="23"/>
                <w:rtl/>
              </w:rPr>
              <w:t xml:space="preserve"> </w:t>
            </w:r>
            <w:r w:rsidRPr="00597AEA">
              <w:rPr>
                <w:rFonts w:ascii="David" w:hAnsi="David" w:cs="David" w:hint="cs"/>
                <w:sz w:val="20"/>
                <w:szCs w:val="20"/>
                <w:rtl/>
              </w:rPr>
              <w:t>(</w:t>
            </w:r>
            <w:r w:rsidRPr="00597AEA">
              <w:rPr>
                <w:rFonts w:ascii="David" w:hAnsi="David" w:cs="David"/>
                <w:sz w:val="20"/>
                <w:szCs w:val="20"/>
                <w:rtl/>
              </w:rPr>
              <w:t>ז</w:t>
            </w:r>
            <w:r w:rsidRPr="00597AEA">
              <w:rPr>
                <w:rFonts w:ascii="David" w:hAnsi="David" w:cs="David" w:hint="cs"/>
                <w:sz w:val="20"/>
                <w:szCs w:val="20"/>
                <w:rtl/>
              </w:rPr>
              <w:t>,</w:t>
            </w:r>
            <w:r w:rsidRPr="00597AEA">
              <w:rPr>
                <w:rFonts w:ascii="David" w:hAnsi="David" w:cs="David"/>
                <w:sz w:val="20"/>
                <w:szCs w:val="20"/>
                <w:rtl/>
              </w:rPr>
              <w:t xml:space="preserve"> כ</w:t>
            </w:r>
            <w:r w:rsidRPr="00597AEA">
              <w:rPr>
                <w:rFonts w:ascii="David" w:hAnsi="David" w:cs="David" w:hint="cs"/>
                <w:sz w:val="20"/>
                <w:szCs w:val="20"/>
                <w:rtl/>
              </w:rPr>
              <w:t>-</w:t>
            </w:r>
            <w:proofErr w:type="spellStart"/>
            <w:r w:rsidRPr="00597AEA">
              <w:rPr>
                <w:rFonts w:ascii="David" w:hAnsi="David" w:cs="David"/>
                <w:sz w:val="20"/>
                <w:szCs w:val="20"/>
                <w:rtl/>
              </w:rPr>
              <w:t>כב</w:t>
            </w:r>
            <w:proofErr w:type="spellEnd"/>
            <w:r w:rsidRPr="00597AEA">
              <w:rPr>
                <w:rFonts w:ascii="David" w:hAnsi="David" w:cs="David" w:hint="cs"/>
                <w:sz w:val="20"/>
                <w:szCs w:val="20"/>
                <w:rtl/>
              </w:rPr>
              <w:t>).</w:t>
            </w:r>
            <w:r w:rsidRPr="00597AEA">
              <w:rPr>
                <w:rFonts w:ascii="David" w:hAnsi="David" w:cs="David" w:hint="cs"/>
                <w:sz w:val="23"/>
                <w:szCs w:val="23"/>
                <w:rtl/>
              </w:rPr>
              <w:t xml:space="preserve"> </w:t>
            </w:r>
          </w:p>
          <w:p w14:paraId="43A9335F" w14:textId="77777777" w:rsidR="00597AEA" w:rsidRDefault="00597AEA" w:rsidP="00597AEA">
            <w:pPr>
              <w:ind w:left="28"/>
              <w:rPr>
                <w:rFonts w:ascii="David" w:hAnsi="David" w:cs="David"/>
                <w:sz w:val="23"/>
                <w:szCs w:val="23"/>
                <w:rtl/>
              </w:rPr>
            </w:pPr>
            <w:r w:rsidRPr="00597AEA">
              <w:rPr>
                <w:rFonts w:ascii="David" w:hAnsi="David" w:cs="David" w:hint="cs"/>
                <w:sz w:val="23"/>
                <w:szCs w:val="23"/>
                <w:rtl/>
              </w:rPr>
              <w:t>מדרש ההלכה מימי התנאים, מבית מדרשו של רבי ישמעאל, מסביר: "</w:t>
            </w:r>
            <w:r w:rsidRPr="00597AEA">
              <w:rPr>
                <w:rFonts w:ascii="David" w:hAnsi="David" w:cs="David"/>
                <w:sz w:val="23"/>
                <w:szCs w:val="23"/>
                <w:rtl/>
              </w:rPr>
              <w:t>זו מלחמת בני אפרים</w:t>
            </w:r>
            <w:r w:rsidRPr="00597AEA">
              <w:rPr>
                <w:rFonts w:ascii="David" w:hAnsi="David" w:cs="David" w:hint="cs"/>
                <w:sz w:val="23"/>
                <w:szCs w:val="23"/>
                <w:rtl/>
              </w:rPr>
              <w:t>"</w:t>
            </w:r>
            <w:r w:rsidRPr="00597AEA">
              <w:rPr>
                <w:rFonts w:ascii="David" w:hAnsi="David" w:cs="David"/>
                <w:sz w:val="23"/>
                <w:szCs w:val="23"/>
                <w:rtl/>
              </w:rPr>
              <w:t xml:space="preserve"> </w:t>
            </w:r>
          </w:p>
          <w:p w14:paraId="50163A75" w14:textId="1B4BBD48" w:rsidR="00597AEA" w:rsidRPr="00597AEA" w:rsidRDefault="00597AEA" w:rsidP="00597AEA">
            <w:pPr>
              <w:ind w:left="28"/>
              <w:jc w:val="right"/>
              <w:rPr>
                <w:rFonts w:ascii="David" w:hAnsi="David" w:cs="David"/>
                <w:sz w:val="20"/>
                <w:szCs w:val="20"/>
                <w:rtl/>
              </w:rPr>
            </w:pPr>
            <w:r w:rsidRPr="00597AEA">
              <w:rPr>
                <w:rFonts w:ascii="David" w:hAnsi="David" w:cs="David" w:hint="cs"/>
                <w:sz w:val="20"/>
                <w:szCs w:val="20"/>
                <w:rtl/>
              </w:rPr>
              <w:t>(</w:t>
            </w:r>
            <w:r w:rsidRPr="00597AEA">
              <w:rPr>
                <w:rFonts w:ascii="David" w:hAnsi="David" w:cs="David"/>
                <w:sz w:val="20"/>
                <w:szCs w:val="20"/>
                <w:rtl/>
              </w:rPr>
              <w:t xml:space="preserve">מכילתא דרבי ישמעאל בשלח - </w:t>
            </w:r>
            <w:proofErr w:type="spellStart"/>
            <w:r w:rsidRPr="00597AEA">
              <w:rPr>
                <w:rFonts w:ascii="David" w:hAnsi="David" w:cs="David"/>
                <w:sz w:val="20"/>
                <w:szCs w:val="20"/>
                <w:rtl/>
              </w:rPr>
              <w:t>מסכתא</w:t>
            </w:r>
            <w:proofErr w:type="spellEnd"/>
            <w:r w:rsidRPr="00597AEA">
              <w:rPr>
                <w:rFonts w:ascii="David" w:hAnsi="David" w:cs="David"/>
                <w:sz w:val="20"/>
                <w:szCs w:val="20"/>
                <w:rtl/>
              </w:rPr>
              <w:t xml:space="preserve"> </w:t>
            </w:r>
            <w:proofErr w:type="spellStart"/>
            <w:r w:rsidRPr="00597AEA">
              <w:rPr>
                <w:rFonts w:ascii="David" w:hAnsi="David" w:cs="David"/>
                <w:sz w:val="20"/>
                <w:szCs w:val="20"/>
                <w:rtl/>
              </w:rPr>
              <w:t>דויהי</w:t>
            </w:r>
            <w:proofErr w:type="spellEnd"/>
            <w:r w:rsidRPr="00597AEA">
              <w:rPr>
                <w:rFonts w:ascii="David" w:hAnsi="David" w:cs="David"/>
                <w:sz w:val="20"/>
                <w:szCs w:val="20"/>
                <w:rtl/>
              </w:rPr>
              <w:t xml:space="preserve"> </w:t>
            </w:r>
            <w:proofErr w:type="spellStart"/>
            <w:r w:rsidRPr="00597AEA">
              <w:rPr>
                <w:rFonts w:ascii="David" w:hAnsi="David" w:cs="David"/>
                <w:sz w:val="20"/>
                <w:szCs w:val="20"/>
                <w:rtl/>
              </w:rPr>
              <w:t>פתיחתא</w:t>
            </w:r>
            <w:proofErr w:type="spellEnd"/>
            <w:r w:rsidRPr="00597AEA">
              <w:rPr>
                <w:rFonts w:ascii="David" w:hAnsi="David" w:cs="David" w:hint="cs"/>
                <w:sz w:val="20"/>
                <w:szCs w:val="20"/>
                <w:rtl/>
              </w:rPr>
              <w:t xml:space="preserve">). </w:t>
            </w:r>
          </w:p>
          <w:p w14:paraId="7FCD8547"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ה</w:t>
            </w:r>
            <w:r w:rsidRPr="00597AEA">
              <w:rPr>
                <w:rFonts w:ascii="David" w:hAnsi="David" w:cs="David"/>
                <w:sz w:val="23"/>
                <w:szCs w:val="23"/>
                <w:rtl/>
              </w:rPr>
              <w:t xml:space="preserve">פסיקתא </w:t>
            </w:r>
            <w:proofErr w:type="spellStart"/>
            <w:r w:rsidRPr="00597AEA">
              <w:rPr>
                <w:rFonts w:ascii="David" w:hAnsi="David" w:cs="David"/>
                <w:sz w:val="23"/>
                <w:szCs w:val="23"/>
                <w:rtl/>
              </w:rPr>
              <w:t>דרב</w:t>
            </w:r>
            <w:proofErr w:type="spellEnd"/>
            <w:r w:rsidRPr="00597AEA">
              <w:rPr>
                <w:rFonts w:ascii="David" w:hAnsi="David" w:cs="David"/>
                <w:sz w:val="23"/>
                <w:szCs w:val="23"/>
                <w:rtl/>
              </w:rPr>
              <w:t xml:space="preserve"> כהנא</w:t>
            </w:r>
            <w:r w:rsidRPr="00597AEA">
              <w:rPr>
                <w:rFonts w:ascii="David" w:hAnsi="David" w:cs="David" w:hint="cs"/>
                <w:sz w:val="23"/>
                <w:szCs w:val="23"/>
                <w:rtl/>
              </w:rPr>
              <w:t xml:space="preserve"> </w:t>
            </w:r>
            <w:r w:rsidRPr="00597AEA">
              <w:rPr>
                <w:rFonts w:ascii="David" w:hAnsi="David" w:cs="David" w:hint="cs"/>
                <w:sz w:val="20"/>
                <w:szCs w:val="20"/>
                <w:rtl/>
              </w:rPr>
              <w:t>(מדרש ארץ ישראלי קדום)</w:t>
            </w:r>
            <w:r w:rsidRPr="00597AEA">
              <w:rPr>
                <w:rFonts w:ascii="David" w:hAnsi="David" w:cs="David" w:hint="cs"/>
                <w:sz w:val="23"/>
                <w:szCs w:val="23"/>
                <w:rtl/>
              </w:rPr>
              <w:t xml:space="preserve"> מוסיפה: "</w:t>
            </w:r>
            <w:proofErr w:type="spellStart"/>
            <w:r w:rsidRPr="00597AEA">
              <w:rPr>
                <w:rFonts w:ascii="David" w:hAnsi="David" w:cs="David"/>
                <w:sz w:val="23"/>
                <w:szCs w:val="23"/>
                <w:rtl/>
              </w:rPr>
              <w:t>רבנין</w:t>
            </w:r>
            <w:proofErr w:type="spellEnd"/>
            <w:r w:rsidRPr="00597AEA">
              <w:rPr>
                <w:rFonts w:ascii="David" w:hAnsi="David" w:cs="David"/>
                <w:sz w:val="23"/>
                <w:szCs w:val="23"/>
                <w:rtl/>
              </w:rPr>
              <w:t xml:space="preserve"> אמרין בני אפרים ובני </w:t>
            </w:r>
            <w:proofErr w:type="spellStart"/>
            <w:r w:rsidRPr="00597AEA">
              <w:rPr>
                <w:rFonts w:ascii="David" w:hAnsi="David" w:cs="David"/>
                <w:sz w:val="23"/>
                <w:szCs w:val="23"/>
                <w:rtl/>
              </w:rPr>
              <w:t>שותלח</w:t>
            </w:r>
            <w:proofErr w:type="spellEnd"/>
            <w:r w:rsidRPr="00597AEA">
              <w:rPr>
                <w:rFonts w:ascii="David" w:hAnsi="David" w:cs="David"/>
                <w:sz w:val="23"/>
                <w:szCs w:val="23"/>
                <w:rtl/>
              </w:rPr>
              <w:t xml:space="preserve"> היו, על שטעו את הקץ שמנים שנה נפל מהם מאה ושמנים אלף</w:t>
            </w:r>
            <w:r w:rsidRPr="00597AEA">
              <w:rPr>
                <w:rFonts w:ascii="David" w:hAnsi="David" w:cs="David" w:hint="cs"/>
                <w:sz w:val="23"/>
                <w:szCs w:val="23"/>
                <w:rtl/>
              </w:rPr>
              <w:t xml:space="preserve">" </w:t>
            </w:r>
            <w:r w:rsidRPr="00597AEA">
              <w:rPr>
                <w:rFonts w:ascii="David" w:hAnsi="David" w:cs="David" w:hint="cs"/>
                <w:sz w:val="20"/>
                <w:szCs w:val="20"/>
                <w:rtl/>
              </w:rPr>
              <w:t>(</w:t>
            </w:r>
            <w:proofErr w:type="spellStart"/>
            <w:r w:rsidRPr="00597AEA">
              <w:rPr>
                <w:rFonts w:ascii="David" w:hAnsi="David" w:cs="David"/>
                <w:sz w:val="20"/>
                <w:szCs w:val="20"/>
                <w:rtl/>
              </w:rPr>
              <w:t>פיסקא</w:t>
            </w:r>
            <w:proofErr w:type="spellEnd"/>
            <w:r w:rsidRPr="00597AEA">
              <w:rPr>
                <w:rFonts w:ascii="David" w:hAnsi="David" w:cs="David"/>
                <w:sz w:val="20"/>
                <w:szCs w:val="20"/>
                <w:rtl/>
              </w:rPr>
              <w:t xml:space="preserve"> יא</w:t>
            </w:r>
            <w:r w:rsidRPr="00597AEA">
              <w:rPr>
                <w:rFonts w:ascii="David" w:hAnsi="David" w:cs="David" w:hint="cs"/>
                <w:sz w:val="20"/>
                <w:szCs w:val="20"/>
                <w:rtl/>
              </w:rPr>
              <w:t>,</w:t>
            </w:r>
            <w:r w:rsidRPr="00597AEA">
              <w:rPr>
                <w:rFonts w:ascii="David" w:hAnsi="David" w:cs="David"/>
                <w:sz w:val="20"/>
                <w:szCs w:val="20"/>
                <w:rtl/>
              </w:rPr>
              <w:t xml:space="preserve"> ויהי בשלח</w:t>
            </w:r>
            <w:r w:rsidRPr="00597AEA">
              <w:rPr>
                <w:rFonts w:ascii="David" w:hAnsi="David" w:cs="David" w:hint="cs"/>
                <w:sz w:val="20"/>
                <w:szCs w:val="20"/>
                <w:rtl/>
              </w:rPr>
              <w:t>).</w:t>
            </w:r>
            <w:r w:rsidRPr="00597AEA">
              <w:rPr>
                <w:rFonts w:ascii="David" w:hAnsi="David" w:cs="David" w:hint="cs"/>
                <w:sz w:val="23"/>
                <w:szCs w:val="23"/>
                <w:rtl/>
              </w:rPr>
              <w:t xml:space="preserve"> </w:t>
            </w:r>
          </w:p>
          <w:p w14:paraId="0A7EDF6B" w14:textId="429480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חיבור שני המדרשים מוביל לתמונה הבאה: אפרים, שנבחר להנהיג אחרי יוסף, על ידי יעקב אבינו וגם על ידי משה רבנו, ניסה מתוקף מנהיגותו הישראלית ומעמדו בבית פרעה, לצאת עם גדודי צבא לארץ ישראל (אחת מהמטרות הייתה כיבוש אזור בית </w:t>
            </w:r>
            <w:proofErr w:type="spellStart"/>
            <w:r w:rsidRPr="00597AEA">
              <w:rPr>
                <w:rFonts w:ascii="David" w:hAnsi="David" w:cs="David" w:hint="cs"/>
                <w:sz w:val="23"/>
                <w:szCs w:val="23"/>
                <w:rtl/>
              </w:rPr>
              <w:t>חורון</w:t>
            </w:r>
            <w:proofErr w:type="spellEnd"/>
            <w:r w:rsidRPr="00597AEA">
              <w:rPr>
                <w:rFonts w:ascii="David" w:hAnsi="David" w:cs="David" w:hint="cs"/>
                <w:sz w:val="23"/>
                <w:szCs w:val="23"/>
                <w:rtl/>
              </w:rPr>
              <w:t>), כדי לאפשר לעם ישראל לחזור לארץ ישראל. ניסיון זה, שהיה טרם זמנו, הסתיים במפלה קשה, והגאולה נדחתה ליציאת מצרים תחת הנהגת משה רבנו הלוי. גם מפלה זו לא הדיחה את שבט אפרים ממעמדו בהנהגה, ואכן תלמידו של משה, יהושע בן נון משבט אפרים, הוא זה שנבחר להנהיג את עם ישראל. משה רבנו מכריז על כך בדרך מאוד מעניינת</w:t>
            </w:r>
            <w:r>
              <w:rPr>
                <w:rFonts w:ascii="David" w:hAnsi="David" w:cs="David" w:hint="cs"/>
                <w:sz w:val="23"/>
                <w:szCs w:val="23"/>
                <w:rtl/>
              </w:rPr>
              <w:t>.</w:t>
            </w:r>
            <w:r w:rsidRPr="00597AEA">
              <w:rPr>
                <w:rFonts w:ascii="David" w:hAnsi="David" w:cs="David" w:hint="cs"/>
                <w:sz w:val="23"/>
                <w:szCs w:val="23"/>
                <w:rtl/>
              </w:rPr>
              <w:t xml:space="preserve"> הוא מצטט, מילה במילה, בברכותיו בפרשת 'וזאת הברכה', את ברכת יעקב שנתן את המלוכה ליוסף בנו - אביו של אפרים: </w:t>
            </w:r>
            <w:r w:rsidRPr="00597AEA">
              <w:rPr>
                <w:rFonts w:ascii="FrankRuehl" w:hAnsi="FrankRuehl" w:cs="FrankRuehl"/>
                <w:rtl/>
              </w:rPr>
              <w:t>"</w:t>
            </w:r>
            <w:r w:rsidRPr="00597AEA">
              <w:rPr>
                <w:rFonts w:ascii="FrankRuehl" w:hAnsi="FrankRuehl" w:cs="FrankRuehl"/>
                <w:b/>
                <w:bCs/>
                <w:rtl/>
              </w:rPr>
              <w:t xml:space="preserve">תָּבוֹאתָה לְרֹאשׁ יוֹסֵף </w:t>
            </w:r>
            <w:proofErr w:type="spellStart"/>
            <w:r w:rsidRPr="00597AEA">
              <w:rPr>
                <w:rFonts w:ascii="FrankRuehl" w:hAnsi="FrankRuehl" w:cs="FrankRuehl"/>
                <w:b/>
                <w:bCs/>
                <w:rtl/>
              </w:rPr>
              <w:t>וּלְקָדְקֹד</w:t>
            </w:r>
            <w:proofErr w:type="spellEnd"/>
            <w:r w:rsidRPr="00597AEA">
              <w:rPr>
                <w:rFonts w:ascii="FrankRuehl" w:hAnsi="FrankRuehl" w:cs="FrankRuehl"/>
                <w:b/>
                <w:bCs/>
                <w:rtl/>
              </w:rPr>
              <w:t xml:space="preserve"> נְזִיר אֶחָיו</w:t>
            </w:r>
            <w:r w:rsidRPr="00597AEA">
              <w:rPr>
                <w:rFonts w:ascii="FrankRuehl" w:hAnsi="FrankRuehl" w:cs="FrankRuehl"/>
                <w:rtl/>
              </w:rPr>
              <w:t>"</w:t>
            </w:r>
            <w:r w:rsidRPr="00597AEA">
              <w:rPr>
                <w:rFonts w:ascii="David" w:hAnsi="David" w:cs="David" w:hint="cs"/>
                <w:sz w:val="23"/>
                <w:szCs w:val="23"/>
                <w:rtl/>
              </w:rPr>
              <w:t xml:space="preserve"> </w:t>
            </w:r>
            <w:r w:rsidRPr="00597AEA">
              <w:rPr>
                <w:rFonts w:ascii="David" w:hAnsi="David" w:cs="David"/>
                <w:sz w:val="20"/>
                <w:szCs w:val="20"/>
                <w:rtl/>
              </w:rPr>
              <w:t>(דברים לג</w:t>
            </w:r>
            <w:r w:rsidRPr="00597AEA">
              <w:rPr>
                <w:rFonts w:ascii="David" w:hAnsi="David" w:cs="David" w:hint="cs"/>
                <w:sz w:val="20"/>
                <w:szCs w:val="20"/>
                <w:rtl/>
              </w:rPr>
              <w:t>,</w:t>
            </w:r>
            <w:r w:rsidRPr="00597AEA">
              <w:rPr>
                <w:rFonts w:ascii="David" w:hAnsi="David" w:cs="David"/>
                <w:sz w:val="20"/>
                <w:szCs w:val="20"/>
                <w:rtl/>
              </w:rPr>
              <w:t xml:space="preserve"> </w:t>
            </w:r>
            <w:proofErr w:type="spellStart"/>
            <w:r w:rsidRPr="00597AEA">
              <w:rPr>
                <w:rFonts w:ascii="David" w:hAnsi="David" w:cs="David" w:hint="cs"/>
                <w:sz w:val="20"/>
                <w:szCs w:val="20"/>
                <w:rtl/>
              </w:rPr>
              <w:t>טז</w:t>
            </w:r>
            <w:proofErr w:type="spellEnd"/>
            <w:r w:rsidRPr="00597AEA">
              <w:rPr>
                <w:rFonts w:ascii="David" w:hAnsi="David" w:cs="David"/>
                <w:sz w:val="20"/>
                <w:szCs w:val="20"/>
                <w:rtl/>
              </w:rPr>
              <w:t>)</w:t>
            </w:r>
            <w:r w:rsidRPr="00597AEA">
              <w:rPr>
                <w:rFonts w:ascii="David" w:hAnsi="David" w:cs="David" w:hint="cs"/>
                <w:sz w:val="20"/>
                <w:szCs w:val="20"/>
                <w:rtl/>
              </w:rPr>
              <w:t>.</w:t>
            </w:r>
          </w:p>
          <w:p w14:paraId="404DD1A1"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נעבור לשאלה השניה. עד מתי ההנהגה הייתה שייכת כמעט בלעדית לבני יוסף? פסוק מאותו פרק בספר תהילים יעזור לנו גם כאן: </w:t>
            </w:r>
            <w:r w:rsidRPr="00597AEA">
              <w:rPr>
                <w:rFonts w:ascii="FrankRuehl" w:hAnsi="FrankRuehl" w:cs="FrankRuehl"/>
                <w:rtl/>
              </w:rPr>
              <w:t>"</w:t>
            </w:r>
            <w:proofErr w:type="spellStart"/>
            <w:r w:rsidRPr="00597AEA">
              <w:rPr>
                <w:rFonts w:ascii="FrankRuehl" w:hAnsi="FrankRuehl" w:cs="FrankRuehl"/>
                <w:rtl/>
              </w:rPr>
              <w:t>וַיִּטֹּש</w:t>
            </w:r>
            <w:proofErr w:type="spellEnd"/>
            <w:r w:rsidRPr="00597AEA">
              <w:rPr>
                <w:rFonts w:ascii="FrankRuehl" w:hAnsi="FrankRuehl" w:cs="FrankRuehl"/>
                <w:rtl/>
              </w:rPr>
              <w:t>ׁ מִשְׁכַּן שִׁלוֹ אֹהֶל שִׁכֵּן בָּאָדָם:... וַיִּמְאַס בְּאֹהֶל יוֹסֵף וּבְשֵׁבֶט אֶפְרַיִם לֹא בָחָר"</w:t>
            </w:r>
            <w:r w:rsidRPr="00597AEA">
              <w:rPr>
                <w:rFonts w:ascii="David" w:hAnsi="David" w:cs="David" w:hint="cs"/>
                <w:sz w:val="23"/>
                <w:szCs w:val="23"/>
                <w:rtl/>
              </w:rPr>
              <w:t xml:space="preserve"> </w:t>
            </w:r>
            <w:r w:rsidRPr="00597AEA">
              <w:rPr>
                <w:rFonts w:ascii="David" w:hAnsi="David" w:cs="David" w:hint="cs"/>
                <w:sz w:val="20"/>
                <w:szCs w:val="20"/>
                <w:rtl/>
              </w:rPr>
              <w:t>(</w:t>
            </w:r>
            <w:proofErr w:type="spellStart"/>
            <w:r w:rsidRPr="00597AEA">
              <w:rPr>
                <w:rFonts w:ascii="David" w:hAnsi="David" w:cs="David"/>
                <w:sz w:val="20"/>
                <w:szCs w:val="20"/>
                <w:rtl/>
              </w:rPr>
              <w:t>עח</w:t>
            </w:r>
            <w:proofErr w:type="spellEnd"/>
            <w:r w:rsidRPr="00597AEA">
              <w:rPr>
                <w:rFonts w:ascii="David" w:hAnsi="David" w:cs="David" w:hint="cs"/>
                <w:sz w:val="20"/>
                <w:szCs w:val="20"/>
                <w:rtl/>
              </w:rPr>
              <w:t>,</w:t>
            </w:r>
            <w:r w:rsidRPr="00597AEA">
              <w:rPr>
                <w:rFonts w:ascii="David" w:hAnsi="David" w:cs="David"/>
                <w:sz w:val="20"/>
                <w:szCs w:val="20"/>
                <w:rtl/>
              </w:rPr>
              <w:t xml:space="preserve"> ס</w:t>
            </w:r>
            <w:r w:rsidRPr="00597AEA">
              <w:rPr>
                <w:rFonts w:ascii="David" w:hAnsi="David" w:cs="David" w:hint="cs"/>
                <w:sz w:val="20"/>
                <w:szCs w:val="20"/>
                <w:rtl/>
              </w:rPr>
              <w:t>-</w:t>
            </w:r>
            <w:proofErr w:type="spellStart"/>
            <w:r w:rsidRPr="00597AEA">
              <w:rPr>
                <w:rFonts w:ascii="David" w:hAnsi="David" w:cs="David"/>
                <w:sz w:val="20"/>
                <w:szCs w:val="20"/>
                <w:rtl/>
              </w:rPr>
              <w:t>סז</w:t>
            </w:r>
            <w:proofErr w:type="spellEnd"/>
            <w:r w:rsidRPr="00597AEA">
              <w:rPr>
                <w:rFonts w:ascii="David" w:hAnsi="David" w:cs="David" w:hint="cs"/>
                <w:sz w:val="20"/>
                <w:szCs w:val="20"/>
                <w:rtl/>
              </w:rPr>
              <w:t>).</w:t>
            </w:r>
            <w:r w:rsidRPr="00597AEA">
              <w:rPr>
                <w:rFonts w:ascii="David" w:hAnsi="David" w:cs="David" w:hint="cs"/>
                <w:sz w:val="23"/>
                <w:szCs w:val="23"/>
                <w:rtl/>
              </w:rPr>
              <w:t xml:space="preserve"> </w:t>
            </w:r>
          </w:p>
          <w:p w14:paraId="046FEB74" w14:textId="7777777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פסוקים אלה מתארים את חורבן משכן שילה, ששכן באזור נחלת אפרים, בימי בני עלי, בסוף תקופת השופטים. </w:t>
            </w:r>
          </w:p>
          <w:p w14:paraId="5C46F1D0" w14:textId="2E78BE57" w:rsidR="00597AEA" w:rsidRPr="00597AEA" w:rsidRDefault="00597AEA" w:rsidP="00597AEA">
            <w:pPr>
              <w:ind w:left="28"/>
              <w:rPr>
                <w:rFonts w:ascii="David" w:hAnsi="David" w:cs="David"/>
                <w:sz w:val="23"/>
                <w:szCs w:val="23"/>
                <w:rtl/>
              </w:rPr>
            </w:pPr>
            <w:r w:rsidRPr="00597AEA">
              <w:rPr>
                <w:rFonts w:ascii="David" w:hAnsi="David" w:cs="David" w:hint="cs"/>
                <w:sz w:val="23"/>
                <w:szCs w:val="23"/>
                <w:rtl/>
              </w:rPr>
              <w:t xml:space="preserve">ואכן, לאורך תקופת השופטים רובם הגדול של המנהיגים, המפורטים בספר, היו מהצד של יוסף: אהוד בן גרא (גם בנימין על יוסף יחשב), דבורה מהר אפרים, גדעון משבט מנשה, יפתח משבט מנשה, שמשון משבט דן בכור - בניה של בלהה - שפחת רחל. גם שאול היה משבט בנימין. </w:t>
            </w:r>
            <w:r>
              <w:rPr>
                <w:rFonts w:ascii="David" w:hAnsi="David" w:cs="David" w:hint="cs"/>
                <w:sz w:val="23"/>
                <w:szCs w:val="23"/>
                <w:rtl/>
              </w:rPr>
              <w:t xml:space="preserve"> </w:t>
            </w:r>
            <w:r w:rsidRPr="00597AEA">
              <w:rPr>
                <w:rFonts w:ascii="David" w:hAnsi="David" w:cs="David" w:hint="cs"/>
                <w:sz w:val="23"/>
                <w:szCs w:val="23"/>
                <w:rtl/>
              </w:rPr>
              <w:t>(לבירור השאלה מתי ולמה רק אז עברה ההנהגה לצד של לאה ויהודה? תוכלו לקרא באריכות,</w:t>
            </w:r>
            <w:r w:rsidR="0021549E" w:rsidRPr="00597AEA">
              <w:rPr>
                <w:rFonts w:ascii="David" w:hAnsi="David" w:cs="David" w:hint="cs"/>
                <w:sz w:val="23"/>
                <w:szCs w:val="23"/>
                <w:rtl/>
              </w:rPr>
              <w:t xml:space="preserve"> </w:t>
            </w:r>
            <w:r w:rsidRPr="00597AEA">
              <w:rPr>
                <w:rFonts w:ascii="David" w:hAnsi="David" w:cs="David" w:hint="cs"/>
                <w:sz w:val="23"/>
                <w:szCs w:val="23"/>
                <w:rtl/>
              </w:rPr>
              <w:t>בספרי 'צפנת שמואל' -ימי דוד, שמתקרב</w:t>
            </w:r>
            <w:r w:rsidR="0021549E">
              <w:rPr>
                <w:rFonts w:ascii="David" w:hAnsi="David" w:cs="David" w:hint="cs"/>
                <w:sz w:val="23"/>
                <w:szCs w:val="23"/>
                <w:rtl/>
              </w:rPr>
              <w:t>,</w:t>
            </w:r>
            <w:r w:rsidRPr="00597AEA">
              <w:rPr>
                <w:rFonts w:ascii="David" w:hAnsi="David" w:cs="David" w:hint="cs"/>
                <w:sz w:val="23"/>
                <w:szCs w:val="23"/>
                <w:rtl/>
              </w:rPr>
              <w:t xml:space="preserve"> </w:t>
            </w:r>
            <w:r w:rsidR="0021549E" w:rsidRPr="00597AEA">
              <w:rPr>
                <w:rFonts w:ascii="David" w:hAnsi="David" w:cs="David" w:hint="cs"/>
                <w:sz w:val="23"/>
                <w:szCs w:val="23"/>
                <w:rtl/>
              </w:rPr>
              <w:t xml:space="preserve"> בע"ה</w:t>
            </w:r>
            <w:r w:rsidR="0021549E">
              <w:rPr>
                <w:rFonts w:ascii="David" w:hAnsi="David" w:cs="David" w:hint="cs"/>
                <w:sz w:val="23"/>
                <w:szCs w:val="23"/>
                <w:rtl/>
              </w:rPr>
              <w:t>,</w:t>
            </w:r>
            <w:r w:rsidR="0021549E" w:rsidRPr="00597AEA">
              <w:rPr>
                <w:rFonts w:ascii="David" w:hAnsi="David" w:cs="David" w:hint="cs"/>
                <w:sz w:val="23"/>
                <w:szCs w:val="23"/>
                <w:rtl/>
              </w:rPr>
              <w:t xml:space="preserve"> </w:t>
            </w:r>
            <w:r w:rsidRPr="00597AEA">
              <w:rPr>
                <w:rFonts w:ascii="David" w:hAnsi="David" w:cs="David" w:hint="cs"/>
                <w:sz w:val="23"/>
                <w:szCs w:val="23"/>
                <w:rtl/>
              </w:rPr>
              <w:t>לשלב ההדפסה).</w:t>
            </w:r>
          </w:p>
          <w:p w14:paraId="28B79B65" w14:textId="77777777" w:rsidR="00597AEA" w:rsidRPr="00597AEA" w:rsidRDefault="00597AEA" w:rsidP="00597AEA">
            <w:pPr>
              <w:ind w:left="28"/>
              <w:rPr>
                <w:rFonts w:ascii="David" w:hAnsi="David" w:cs="David"/>
                <w:sz w:val="12"/>
                <w:szCs w:val="12"/>
                <w:rtl/>
              </w:rPr>
            </w:pPr>
          </w:p>
          <w:p w14:paraId="26D13B93" w14:textId="77777777" w:rsidR="00597AEA" w:rsidRPr="00597AEA" w:rsidRDefault="00597AEA" w:rsidP="00597AEA">
            <w:pPr>
              <w:ind w:left="28"/>
              <w:jc w:val="center"/>
              <w:rPr>
                <w:rFonts w:ascii="David" w:hAnsi="David" w:cs="David"/>
                <w:sz w:val="23"/>
                <w:szCs w:val="23"/>
                <w:rtl/>
              </w:rPr>
            </w:pPr>
            <w:r w:rsidRPr="00597AEA">
              <w:rPr>
                <w:rFonts w:ascii="David" w:hAnsi="David" w:cs="David"/>
                <w:sz w:val="23"/>
                <w:szCs w:val="23"/>
                <w:rtl/>
              </w:rPr>
              <w:t>נתפלל לרפואה שלמה והחלמה מהירה וטובה לפצועים היקרים ובתוכם איתמר חיים בן ציפורה,</w:t>
            </w:r>
          </w:p>
          <w:p w14:paraId="43E72DA0" w14:textId="77777777" w:rsidR="00597AEA" w:rsidRPr="00597AEA" w:rsidRDefault="00597AEA" w:rsidP="00597AEA">
            <w:pPr>
              <w:ind w:left="28"/>
              <w:jc w:val="center"/>
              <w:rPr>
                <w:rFonts w:ascii="David" w:hAnsi="David" w:cs="David"/>
                <w:sz w:val="23"/>
                <w:szCs w:val="23"/>
                <w:rtl/>
              </w:rPr>
            </w:pPr>
            <w:r w:rsidRPr="00597AEA">
              <w:rPr>
                <w:rFonts w:ascii="David" w:hAnsi="David" w:cs="David"/>
                <w:sz w:val="23"/>
                <w:szCs w:val="23"/>
                <w:rtl/>
              </w:rPr>
              <w:t>נחמה למשפחות הנופלים המזהירות בגבורתן ובגבורתם של בניהם ובנותיהן,</w:t>
            </w:r>
          </w:p>
          <w:p w14:paraId="16CE27F2" w14:textId="0AD08F8B" w:rsidR="00597AEA" w:rsidRPr="00597AEA" w:rsidRDefault="00597AEA" w:rsidP="00597AEA">
            <w:pPr>
              <w:ind w:left="28"/>
              <w:jc w:val="center"/>
              <w:rPr>
                <w:rFonts w:ascii="David" w:hAnsi="David" w:cs="David"/>
                <w:sz w:val="23"/>
                <w:szCs w:val="23"/>
                <w:rtl/>
              </w:rPr>
            </w:pPr>
            <w:r w:rsidRPr="00597AEA">
              <w:rPr>
                <w:rFonts w:ascii="David" w:hAnsi="David" w:cs="David"/>
                <w:sz w:val="23"/>
                <w:szCs w:val="23"/>
                <w:rtl/>
              </w:rPr>
              <w:t>חזרה מהירה וטובה לבתיהם לכל החטופים והעקורים.</w:t>
            </w:r>
          </w:p>
          <w:p w14:paraId="1830DADC" w14:textId="41209635" w:rsidR="00D5224D" w:rsidRPr="00AE3CB9" w:rsidRDefault="00D5224D" w:rsidP="00D5224D">
            <w:pPr>
              <w:ind w:left="28"/>
              <w:jc w:val="center"/>
              <w:rPr>
                <w:rFonts w:ascii="David" w:hAnsi="David" w:cs="David"/>
                <w:sz w:val="16"/>
                <w:szCs w:val="16"/>
                <w:rtl/>
              </w:rPr>
            </w:pPr>
          </w:p>
          <w:bookmarkEnd w:id="2"/>
          <w:p w14:paraId="4F52D5CF" w14:textId="5635799A" w:rsidR="00F9580A" w:rsidRDefault="001969F8" w:rsidP="00136177">
            <w:pPr>
              <w:spacing w:line="480"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271"/>
              <w:gridCol w:w="1553"/>
              <w:gridCol w:w="283"/>
              <w:gridCol w:w="142"/>
              <w:gridCol w:w="148"/>
              <w:gridCol w:w="561"/>
              <w:gridCol w:w="702"/>
              <w:gridCol w:w="144"/>
              <w:gridCol w:w="146"/>
              <w:gridCol w:w="425"/>
              <w:gridCol w:w="148"/>
              <w:gridCol w:w="561"/>
              <w:gridCol w:w="277"/>
              <w:gridCol w:w="7"/>
              <w:gridCol w:w="1275"/>
              <w:gridCol w:w="560"/>
              <w:gridCol w:w="575"/>
              <w:gridCol w:w="283"/>
              <w:gridCol w:w="142"/>
              <w:gridCol w:w="701"/>
              <w:gridCol w:w="2139"/>
            </w:tblGrid>
            <w:tr w:rsidR="001969F8" w:rsidRPr="00451315" w14:paraId="140C2209" w14:textId="77777777" w:rsidTr="00D5224D">
              <w:trPr>
                <w:trHeight w:val="273"/>
              </w:trPr>
              <w:tc>
                <w:tcPr>
                  <w:tcW w:w="3804"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9" w:type="dxa"/>
                  <w:gridSpan w:val="13"/>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5224D">
              <w:trPr>
                <w:trHeight w:val="273"/>
              </w:trPr>
              <w:tc>
                <w:tcPr>
                  <w:tcW w:w="1824"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9"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5224D">
              <w:trPr>
                <w:trHeight w:val="427"/>
              </w:trPr>
              <w:tc>
                <w:tcPr>
                  <w:tcW w:w="2249"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5"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5224D">
              <w:trPr>
                <w:trHeight w:val="431"/>
              </w:trPr>
              <w:tc>
                <w:tcPr>
                  <w:tcW w:w="2107"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5"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5224D">
              <w:trPr>
                <w:trHeight w:val="453"/>
              </w:trPr>
              <w:tc>
                <w:tcPr>
                  <w:tcW w:w="2958"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2"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6565BB">
              <w:trPr>
                <w:trHeight w:val="503"/>
              </w:trPr>
              <w:tc>
                <w:tcPr>
                  <w:tcW w:w="271" w:type="dxa"/>
                  <w:vAlign w:val="center"/>
                </w:tcPr>
                <w:p w14:paraId="77B3F93D" w14:textId="2AAC2C06"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w:t>
                  </w:r>
                </w:p>
              </w:tc>
              <w:tc>
                <w:tcPr>
                  <w:tcW w:w="2126" w:type="dxa"/>
                  <w:gridSpan w:val="4"/>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2126" w:type="dxa"/>
                  <w:gridSpan w:val="6"/>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2120" w:type="dxa"/>
                  <w:gridSpan w:val="4"/>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40"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7541FBCC">
            <wp:simplePos x="0" y="0"/>
            <wp:positionH relativeFrom="page">
              <wp:posOffset>83820</wp:posOffset>
            </wp:positionH>
            <wp:positionV relativeFrom="paragraph">
              <wp:posOffset>6929450</wp:posOffset>
            </wp:positionV>
            <wp:extent cx="7436409" cy="2154804"/>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6409" cy="2154804"/>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DB3B23" w:rsidRDefault="00C55962" w:rsidP="00F52A2A">
      <w:pPr>
        <w:contextualSpacing/>
        <w:jc w:val="center"/>
        <w:rPr>
          <w:rFonts w:ascii="Arial" w:eastAsia="Calibri" w:hAnsi="Arial" w:cs="Arial"/>
          <w:b/>
          <w:bCs/>
          <w:color w:val="C00000"/>
          <w:sz w:val="20"/>
          <w:szCs w:val="2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9711C4"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3A6457C" w14:textId="77777777" w:rsidR="00DF5AEC" w:rsidRPr="00DF5AEC" w:rsidRDefault="00DF5AEC" w:rsidP="00DF5AEC">
      <w:pPr>
        <w:bidi w:val="0"/>
        <w:jc w:val="center"/>
        <w:rPr>
          <w:rFonts w:ascii="FrankRuehl" w:eastAsia="Calibri" w:hAnsi="FrankRuehl" w:cs="FrankRuehl"/>
          <w:color w:val="0070C0"/>
          <w:sz w:val="16"/>
          <w:szCs w:val="16"/>
          <w:u w:val="single"/>
        </w:rPr>
      </w:pPr>
    </w:p>
    <w:p w14:paraId="64CD0458" w14:textId="62D1CC91" w:rsidR="00DF5AEC" w:rsidRPr="0087202D" w:rsidRDefault="00DF5AEC" w:rsidP="00DF5AEC">
      <w:pPr>
        <w:bidi w:val="0"/>
        <w:rPr>
          <w:rFonts w:ascii="Calibri" w:eastAsia="Calibri" w:hAnsi="Calibri" w:cs="David"/>
          <w:b/>
          <w:bCs/>
          <w:sz w:val="16"/>
          <w:szCs w:val="16"/>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540604D">
            <wp:simplePos x="0" y="0"/>
            <wp:positionH relativeFrom="margin">
              <wp:posOffset>4051605</wp:posOffset>
            </wp:positionH>
            <wp:positionV relativeFrom="paragraph">
              <wp:posOffset>-531393</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87202D" w:rsidRDefault="00662474" w:rsidP="00662474">
      <w:pPr>
        <w:contextualSpacing/>
        <w:rPr>
          <w:rFonts w:ascii="David" w:eastAsia="Calibri" w:hAnsi="David" w:cs="David"/>
          <w:sz w:val="16"/>
          <w:szCs w:val="16"/>
          <w:rtl/>
        </w:rPr>
      </w:pPr>
    </w:p>
    <w:p w14:paraId="2FAD057C" w14:textId="77777777" w:rsidR="0087202D" w:rsidRPr="0087202D" w:rsidRDefault="0087202D" w:rsidP="0087202D">
      <w:pPr>
        <w:contextualSpacing/>
        <w:jc w:val="both"/>
        <w:rPr>
          <w:rFonts w:ascii="David" w:hAnsi="David" w:cs="David"/>
          <w:b/>
          <w:bCs/>
          <w:color w:val="0070C0"/>
          <w:kern w:val="2"/>
          <w:sz w:val="32"/>
          <w:szCs w:val="32"/>
          <w:rtl/>
          <w14:ligatures w14:val="standardContextual"/>
        </w:rPr>
      </w:pPr>
      <w:r w:rsidRPr="0087202D">
        <w:rPr>
          <w:rFonts w:ascii="David" w:hAnsi="David" w:cs="David"/>
          <w:b/>
          <w:bCs/>
          <w:color w:val="0070C0"/>
          <w:kern w:val="2"/>
          <w:sz w:val="32"/>
          <w:szCs w:val="32"/>
          <w:rtl/>
          <w14:ligatures w14:val="standardContextual"/>
        </w:rPr>
        <w:t>תפילת חול בזמן קדושת שבת</w:t>
      </w:r>
    </w:p>
    <w:p w14:paraId="1BB840B6" w14:textId="77777777" w:rsidR="0087202D" w:rsidRPr="0087202D" w:rsidRDefault="0087202D" w:rsidP="0087202D">
      <w:pPr>
        <w:contextualSpacing/>
        <w:rPr>
          <w:rFonts w:ascii="David" w:hAnsi="David" w:cs="David"/>
          <w:sz w:val="16"/>
          <w:szCs w:val="16"/>
          <w:rtl/>
        </w:rPr>
      </w:pPr>
    </w:p>
    <w:p w14:paraId="069757B8"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בשבועות האחרונים עסקנו בשאלת זמן קריאת שמע ותפילת ערבית. לפי חכמים כשם שיש לקרוא את קריאת שמע אחרי צאת הכוכבים, כך יש גם להתפלל את תפילת ערבית אחרי צאת הכוכבים. לפי רבי יהודה לכאורה מפשט המשנה עולה שיש לקרוא את קריאת שמע אחרי צאת הכוכבים, אך את תפילת ערבית אפשר להתפלל החל מפלג המנחה (שעה ורבע זמניות לפני השקיעה).</w:t>
      </w:r>
    </w:p>
    <w:p w14:paraId="770CD9E6"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עמדנו על שתי תפיסות עקרוניות להבנת שיטת רבי יהודה:</w:t>
      </w:r>
    </w:p>
    <w:p w14:paraId="43104544" w14:textId="77777777" w:rsidR="0087202D" w:rsidRPr="007018C2" w:rsidRDefault="0087202D" w:rsidP="0087202D">
      <w:pPr>
        <w:pStyle w:val="aff7"/>
        <w:numPr>
          <w:ilvl w:val="0"/>
          <w:numId w:val="2"/>
        </w:numPr>
        <w:spacing w:after="0" w:line="240" w:lineRule="auto"/>
        <w:ind w:left="543"/>
        <w:rPr>
          <w:rStyle w:val="afff8"/>
          <w:rFonts w:ascii="David" w:hAnsi="David" w:cs="David"/>
          <w:b w:val="0"/>
          <w:bCs/>
          <w:sz w:val="24"/>
          <w:szCs w:val="24"/>
        </w:rPr>
      </w:pPr>
      <w:r w:rsidRPr="007018C2">
        <w:rPr>
          <w:rStyle w:val="afff8"/>
          <w:rFonts w:ascii="David" w:hAnsi="David" w:cs="David"/>
          <w:sz w:val="24"/>
          <w:szCs w:val="24"/>
          <w:rtl/>
        </w:rPr>
        <w:t>לפי רבי יהודה החל מפלג המנחה הזמן מזוהה הלכתית כ'לילה'. כך עלה מתלמיד רבנו יונה, הפוסק שמי שהתפלל מנחה אחרי פלג המנחה אינו רשאי להתפלל ערבית באותה עת; כך עלה משיטת ר"ת, האומר שכאשר אדם עונה ל'ברכו' של ערבית, הלכתית כבר הגיע הלילה, וממילא ניתן לצאת ידי חובת קריאת שמע של ערבית.</w:t>
      </w:r>
    </w:p>
    <w:p w14:paraId="623E0D27" w14:textId="77777777" w:rsidR="0087202D" w:rsidRPr="007018C2" w:rsidRDefault="0087202D" w:rsidP="0087202D">
      <w:pPr>
        <w:pStyle w:val="aff7"/>
        <w:numPr>
          <w:ilvl w:val="0"/>
          <w:numId w:val="2"/>
        </w:numPr>
        <w:spacing w:after="0" w:line="240" w:lineRule="auto"/>
        <w:ind w:left="543"/>
        <w:rPr>
          <w:rStyle w:val="afff8"/>
          <w:rFonts w:ascii="David" w:hAnsi="David" w:cs="David"/>
          <w:b w:val="0"/>
          <w:bCs/>
          <w:sz w:val="24"/>
          <w:szCs w:val="24"/>
          <w:rtl/>
        </w:rPr>
      </w:pPr>
      <w:r w:rsidRPr="007018C2">
        <w:rPr>
          <w:rStyle w:val="afff8"/>
          <w:rFonts w:ascii="David" w:hAnsi="David" w:cs="David"/>
          <w:sz w:val="24"/>
          <w:szCs w:val="24"/>
          <w:rtl/>
        </w:rPr>
        <w:t xml:space="preserve">רבי יהודה סובר שתפילת ערבית מוגדרת לפי שעת הקרבת </w:t>
      </w:r>
      <w:proofErr w:type="spellStart"/>
      <w:r w:rsidRPr="007018C2">
        <w:rPr>
          <w:rStyle w:val="afff8"/>
          <w:rFonts w:ascii="David" w:hAnsi="David" w:cs="David"/>
          <w:sz w:val="24"/>
          <w:szCs w:val="24"/>
          <w:rtl/>
        </w:rPr>
        <w:t>הפדרים</w:t>
      </w:r>
      <w:proofErr w:type="spellEnd"/>
      <w:r w:rsidRPr="007018C2">
        <w:rPr>
          <w:rStyle w:val="afff8"/>
          <w:rFonts w:ascii="David" w:hAnsi="David" w:cs="David"/>
          <w:sz w:val="24"/>
          <w:szCs w:val="24"/>
          <w:rtl/>
        </w:rPr>
        <w:t xml:space="preserve"> והאימורים, ואינה תלויה בלילה. </w:t>
      </w:r>
      <w:proofErr w:type="spellStart"/>
      <w:r w:rsidRPr="007018C2">
        <w:rPr>
          <w:rStyle w:val="afff8"/>
          <w:rFonts w:ascii="David" w:hAnsi="David" w:cs="David"/>
          <w:sz w:val="24"/>
          <w:szCs w:val="24"/>
          <w:rtl/>
        </w:rPr>
        <w:t>הרא"ש</w:t>
      </w:r>
      <w:proofErr w:type="spellEnd"/>
      <w:r w:rsidRPr="007018C2">
        <w:rPr>
          <w:rStyle w:val="afff8"/>
          <w:rFonts w:ascii="David" w:hAnsi="David" w:cs="David"/>
          <w:sz w:val="24"/>
          <w:szCs w:val="24"/>
          <w:rtl/>
        </w:rPr>
        <w:t xml:space="preserve"> אומר כך מפורשות בתוקף כנגד שיטת ר"ת; וכך עולה מדברי רש"י האומר שהמתפללים ערבית לפני צאת הכוכבים, כשיטת רבי יהודה, נאלצים להשלים את קריאת שמע של ערבית מאוחר יותר.</w:t>
      </w:r>
    </w:p>
    <w:p w14:paraId="018B8E01"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 xml:space="preserve">מצד אחד, שיטת ר"ת מאוד מסתדרת לנו אינטואיטיבית. מצד שני, יש מספר ראיות משמעותיות נגד דבריו. נציג דוגמא אחת: במסכת ברכות (דף </w:t>
      </w:r>
      <w:proofErr w:type="spellStart"/>
      <w:r w:rsidRPr="007018C2">
        <w:rPr>
          <w:rStyle w:val="afff8"/>
          <w:rFonts w:ascii="David" w:hAnsi="David" w:cs="David"/>
          <w:rtl/>
        </w:rPr>
        <w:t>כז</w:t>
      </w:r>
      <w:proofErr w:type="spellEnd"/>
      <w:r w:rsidRPr="007018C2">
        <w:rPr>
          <w:rStyle w:val="afff8"/>
          <w:rFonts w:ascii="David" w:hAnsi="David" w:cs="David"/>
          <w:rtl/>
        </w:rPr>
        <w:t xml:space="preserve"> ע"א)</w:t>
      </w:r>
      <w:r w:rsidRPr="007018C2">
        <w:rPr>
          <w:rStyle w:val="afff8"/>
          <w:rFonts w:ascii="David" w:hAnsi="David" w:cs="David"/>
        </w:rPr>
        <w:t xml:space="preserve"> </w:t>
      </w:r>
      <w:r w:rsidRPr="007018C2">
        <w:rPr>
          <w:rStyle w:val="afff8"/>
          <w:rFonts w:ascii="David" w:hAnsi="David" w:cs="David"/>
          <w:rtl/>
        </w:rPr>
        <w:t>מסופר שרבי יאשיה נהג כרבי יהודה, והיה מתפלל את תפילת ערבית של מוצאי שבת בשבת. היעלה על הדעת שרבי יאשיה היה מוציא את השבת ומתחיל לעשות מלאכות לפני השקיעה? קשה לומר כך, ועל פניו ברור שהוא התפלל את תפילת ערבית, אך לא עשה מלאכה עד צאת הכוכבים.</w:t>
      </w:r>
    </w:p>
    <w:p w14:paraId="61D36100"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בעלי התוספות (שם ד"ה צלי)</w:t>
      </w:r>
      <w:r w:rsidRPr="007018C2">
        <w:rPr>
          <w:rStyle w:val="afff8"/>
          <w:rFonts w:ascii="David" w:hAnsi="David" w:cs="David"/>
        </w:rPr>
        <w:t xml:space="preserve"> </w:t>
      </w:r>
      <w:r w:rsidRPr="007018C2">
        <w:rPr>
          <w:rStyle w:val="afff8"/>
          <w:rFonts w:ascii="David" w:hAnsi="David" w:cs="David"/>
          <w:rtl/>
        </w:rPr>
        <w:t>אומרים שאין לעשות כך ולהתפלל את ערבית של מוצאי שבת מבעוד יום אלא אם כן יש צורך מצווה או צורך גדול, שהרי יש מצווה להוסיף מחול על קודש. היה מקום לחשוב שדבריהם מתאימים לשיטת ר"ת, ותפילת ערבית לפני צאת הכוכבים מאפשרת גם לעשות מלאכה לפני צאת הכוכבים. אך הם מסיימים את דבריהם בתזכורת שאסור לעשות מלאכות עד החשיכה.</w:t>
      </w:r>
    </w:p>
    <w:p w14:paraId="053D3664"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 xml:space="preserve">אך </w:t>
      </w:r>
      <w:proofErr w:type="spellStart"/>
      <w:r w:rsidRPr="007018C2">
        <w:rPr>
          <w:rStyle w:val="afff8"/>
          <w:rFonts w:ascii="David" w:hAnsi="David" w:cs="David"/>
          <w:rtl/>
        </w:rPr>
        <w:t>הצל"ח</w:t>
      </w:r>
      <w:proofErr w:type="spellEnd"/>
      <w:r w:rsidRPr="007018C2">
        <w:rPr>
          <w:rStyle w:val="afff8"/>
          <w:rFonts w:ascii="David" w:hAnsi="David" w:cs="David"/>
          <w:rtl/>
        </w:rPr>
        <w:t xml:space="preserve"> מופתע מהדברים:</w:t>
      </w:r>
      <w:r w:rsidRPr="007018C2">
        <w:rPr>
          <w:rStyle w:val="afff8"/>
          <w:rFonts w:ascii="David" w:hAnsi="David" w:cs="David"/>
        </w:rPr>
        <w:t xml:space="preserve"> </w:t>
      </w:r>
      <w:r w:rsidRPr="007018C2">
        <w:rPr>
          <w:rStyle w:val="afff8"/>
          <w:rFonts w:ascii="David" w:hAnsi="David" w:cs="David"/>
          <w:rtl/>
        </w:rPr>
        <w:t>אם אסור לו לעשות מלאכה עד חשיכה, הרי שתפילת ערבית וגם הבדלה הן מצוות שיש לעשות לקראת צאת השבת, אך על פניו אין בכך פגיעה בחובת תוספת שבת!</w:t>
      </w:r>
    </w:p>
    <w:p w14:paraId="185C3CCC" w14:textId="77777777" w:rsidR="0087202D" w:rsidRPr="007018C2" w:rsidRDefault="0087202D" w:rsidP="0087202D">
      <w:pPr>
        <w:contextualSpacing/>
        <w:rPr>
          <w:rStyle w:val="afff8"/>
          <w:rFonts w:ascii="David" w:hAnsi="David" w:cs="David"/>
          <w:b w:val="0"/>
          <w:bCs/>
          <w:rtl/>
        </w:rPr>
      </w:pPr>
      <w:proofErr w:type="spellStart"/>
      <w:r w:rsidRPr="007018C2">
        <w:rPr>
          <w:rStyle w:val="afff8"/>
          <w:rFonts w:ascii="David" w:hAnsi="David" w:cs="David"/>
          <w:rtl/>
        </w:rPr>
        <w:t>הגרי"ד</w:t>
      </w:r>
      <w:proofErr w:type="spellEnd"/>
      <w:r w:rsidRPr="007018C2">
        <w:rPr>
          <w:rStyle w:val="afff8"/>
          <w:rFonts w:ascii="David" w:hAnsi="David" w:cs="David"/>
          <w:rtl/>
        </w:rPr>
        <w:t xml:space="preserve"> </w:t>
      </w:r>
      <w:proofErr w:type="spellStart"/>
      <w:r w:rsidRPr="007018C2">
        <w:rPr>
          <w:rStyle w:val="afff8"/>
          <w:rFonts w:ascii="David" w:hAnsi="David" w:cs="David"/>
          <w:rtl/>
        </w:rPr>
        <w:t>סולוביצ'יק</w:t>
      </w:r>
      <w:proofErr w:type="spellEnd"/>
      <w:r w:rsidRPr="007018C2">
        <w:rPr>
          <w:rStyle w:val="afff8"/>
          <w:rFonts w:ascii="David" w:hAnsi="David" w:cs="David"/>
          <w:rtl/>
        </w:rPr>
        <w:t xml:space="preserve"> פותר את הקושיה כך: תוספת שבת לאחריה ממשיכה עד שאדם עושה הבדלה. משעשה הבדלה השבת יצאה, גם אם הוא לא יעשה מלאכה. מכיוון שאומרים את ההבדלה בתפילה, הרי שברגע שיצאו הכוכבים השבת שלו תצא, ולא תהיה לו אפשרות להוסיף מחול על קודש. לכן אומרים תוספות: ברור שאסור לעשות מלאכה עד צאת הכוכבים. אך מי שמתפלל מבעוד יום אינו מסוגל להוסיף על קדושת השבת אחריה, גם אם יבחר להימנע ממלאכה לעוד זמן אחרי צאת הכוכבים.</w:t>
      </w:r>
    </w:p>
    <w:p w14:paraId="259526DE"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הפרי מגדים מיישב אחרת: הוא אומר שתפילת יום החול פוגעת בקדושת השבת (הדברים תואמים את שיטתו שסובר שאין חובה להוסיף על השבת אחריה). כלומר, הבעיה אינה בכך שהוא מוציא את השבת מוקדם, שהרי לא ניתן לעשות זאת. הבעיה היא שהוא מתפלל תפילת יום חול בשבת. כמובן שאין פגיעה בקדושת השבת מצד מלאכה, אלא רק בקדושת השבת מצד תפילת החול.</w:t>
      </w:r>
    </w:p>
    <w:p w14:paraId="6600D46F" w14:textId="77777777" w:rsidR="0087202D" w:rsidRPr="0087202D" w:rsidRDefault="0087202D" w:rsidP="0087202D">
      <w:pPr>
        <w:contextualSpacing/>
        <w:rPr>
          <w:rStyle w:val="afff8"/>
          <w:rFonts w:ascii="David" w:hAnsi="David" w:cs="David"/>
          <w:b w:val="0"/>
          <w:bCs/>
          <w:sz w:val="16"/>
          <w:szCs w:val="16"/>
          <w:rtl/>
        </w:rPr>
      </w:pPr>
    </w:p>
    <w:p w14:paraId="48E29298"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מתוך הדברים מתבררת הלכה מעניינת שנוטים להתבלבל בהבנתה.</w:t>
      </w:r>
    </w:p>
    <w:p w14:paraId="371EBD1E"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 xml:space="preserve">כתב המרדכי (שבת סימן רצו): "מי ששהה להתפלל מנחה וכבר ענה 'ברכו' של ערבית עם הקהל, הואיל וכבר עשהו קדש, שוב לא יעשנו חול, להתפלל תפלה של חול". המרדכי נמצא באירופה, ובימיו כל יהודי אירופה הקדימו את הכנסת השבת לפני השקיעה. היו שהבינו שאחרי שאדם עונה על 'ברכו' של תפילת ערבית, כבר נהיה לילה, ולכן אין באפשרותו להתפלל מנחה. אך לא זה מה שכתוב בלשונו. בלשונו כתוב שאחרי </w:t>
      </w:r>
      <w:proofErr w:type="spellStart"/>
      <w:r w:rsidRPr="007018C2">
        <w:rPr>
          <w:rStyle w:val="afff8"/>
          <w:rFonts w:ascii="David" w:hAnsi="David" w:cs="David"/>
          <w:rtl/>
        </w:rPr>
        <w:t>שעשהו</w:t>
      </w:r>
      <w:proofErr w:type="spellEnd"/>
      <w:r w:rsidRPr="007018C2">
        <w:rPr>
          <w:rStyle w:val="afff8"/>
          <w:rFonts w:ascii="David" w:hAnsi="David" w:cs="David"/>
          <w:rtl/>
        </w:rPr>
        <w:t xml:space="preserve"> קודש שוב לא יעשנו חול. כלומר, אחרי שאדם עונה על 'ברכו' של תפילת ערבית, במסגרתה אדם מברך את ברכת 'מקדש השבת', הרי שקיבל עליו את קדושת השבת, ולא ראוי להתפלל את תפילת החול בשבת.</w:t>
      </w:r>
    </w:p>
    <w:p w14:paraId="3149F0F4"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 xml:space="preserve">הפרי חדש (על </w:t>
      </w:r>
      <w:proofErr w:type="spellStart"/>
      <w:r w:rsidRPr="007018C2">
        <w:rPr>
          <w:rStyle w:val="afff8"/>
          <w:rFonts w:ascii="David" w:hAnsi="David" w:cs="David"/>
          <w:rtl/>
        </w:rPr>
        <w:t>השו"ע</w:t>
      </w:r>
      <w:proofErr w:type="spellEnd"/>
      <w:r w:rsidRPr="007018C2">
        <w:rPr>
          <w:rStyle w:val="afff8"/>
          <w:rFonts w:ascii="David" w:hAnsi="David" w:cs="David"/>
          <w:rtl/>
        </w:rPr>
        <w:t xml:space="preserve"> אורח חיים סימן </w:t>
      </w:r>
      <w:proofErr w:type="spellStart"/>
      <w:r w:rsidRPr="007018C2">
        <w:rPr>
          <w:rStyle w:val="afff8"/>
          <w:rFonts w:ascii="David" w:hAnsi="David" w:cs="David"/>
          <w:rtl/>
        </w:rPr>
        <w:t>רסג</w:t>
      </w:r>
      <w:proofErr w:type="spellEnd"/>
      <w:r w:rsidRPr="007018C2">
        <w:rPr>
          <w:rStyle w:val="afff8"/>
          <w:rFonts w:ascii="David" w:hAnsi="David" w:cs="David"/>
          <w:rtl/>
        </w:rPr>
        <w:t xml:space="preserve"> סעיף טו) מפנה לסעיף </w:t>
      </w:r>
      <w:proofErr w:type="spellStart"/>
      <w:r w:rsidRPr="007018C2">
        <w:rPr>
          <w:rStyle w:val="afff8"/>
          <w:rFonts w:ascii="David" w:hAnsi="David" w:cs="David"/>
          <w:rtl/>
        </w:rPr>
        <w:t>יג</w:t>
      </w:r>
      <w:proofErr w:type="spellEnd"/>
      <w:r w:rsidRPr="007018C2">
        <w:rPr>
          <w:rStyle w:val="afff8"/>
          <w:rFonts w:ascii="David" w:hAnsi="David" w:cs="David"/>
          <w:rtl/>
        </w:rPr>
        <w:t>, בו נאמר שהאדם מחויב לציבור. כלומר: במקום בו כל אנשי העיר מקבלים את השבת מוקדם, אדם אינו רשאי להחליט שהוא מאחר את קבלת השבת. עולה מדבריו כפי שדייקנו: הנושא אינו שתפילת ערבית הופכת את היום ללילה, אלא יש בה קבלת שבת, ולא ראוי להתפלל תפילת חולין אחרי שכבר קיבל עליו את השבת.</w:t>
      </w:r>
    </w:p>
    <w:p w14:paraId="7CAD9E4C"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הפרי מגדים (שם)</w:t>
      </w:r>
      <w:r w:rsidRPr="007018C2">
        <w:rPr>
          <w:rStyle w:val="afff8"/>
          <w:rFonts w:ascii="David" w:hAnsi="David" w:cs="David"/>
        </w:rPr>
        <w:t xml:space="preserve"> </w:t>
      </w:r>
      <w:r w:rsidRPr="007018C2">
        <w:rPr>
          <w:rStyle w:val="afff8"/>
          <w:rFonts w:ascii="David" w:hAnsi="David" w:cs="David"/>
          <w:rtl/>
        </w:rPr>
        <w:t xml:space="preserve">לשיטתו מציע נפקא מינה מעשית: אם אדם עבר על דברי המרדכי (שנפסקו בשולחן ערוך שם) והתפלל מנחה אחרי שענה 'ברכו', האם יצא ידי חובת תפילה זו. אם כבר לילה, יש להתפלל את תפילת מנחה כתפילת </w:t>
      </w:r>
      <w:proofErr w:type="spellStart"/>
      <w:r w:rsidRPr="007018C2">
        <w:rPr>
          <w:rStyle w:val="afff8"/>
          <w:rFonts w:ascii="David" w:hAnsi="David" w:cs="David"/>
          <w:rtl/>
        </w:rPr>
        <w:t>תשלומין</w:t>
      </w:r>
      <w:proofErr w:type="spellEnd"/>
      <w:r w:rsidRPr="007018C2">
        <w:rPr>
          <w:rStyle w:val="afff8"/>
          <w:rFonts w:ascii="David" w:hAnsi="David" w:cs="David"/>
          <w:rtl/>
        </w:rPr>
        <w:t>, ואם התפלל מנחה לפני ערבית אינו יוצא ידי חובה. אך הפרי מגדים פוסק שהאדם יוצא ידי חובת מנחה: אמנם לא ראוי להתפלל תפילת חולין בשבת, אך כשם שרב יאשיה יצא ידי חובת תפילת ערבית של מוצאי שבת בשבת, כך כל אדם יוצא ידי חובת תפילת מנחה של חול אחרי שקיבל עליו את קדושת השבת (כאמור, יש זלזול בתפילת חול תוך כדי השבת, ולכן אין לעשות כך אלא לצורך מצווה או צורך גדול).</w:t>
      </w:r>
    </w:p>
    <w:p w14:paraId="2B9ECBC3" w14:textId="77777777" w:rsidR="0087202D" w:rsidRPr="0087202D" w:rsidRDefault="0087202D" w:rsidP="0087202D">
      <w:pPr>
        <w:contextualSpacing/>
        <w:rPr>
          <w:rStyle w:val="afff8"/>
          <w:rFonts w:ascii="David" w:hAnsi="David" w:cs="David"/>
          <w:b w:val="0"/>
          <w:bCs/>
          <w:sz w:val="16"/>
          <w:szCs w:val="16"/>
          <w:rtl/>
        </w:rPr>
      </w:pPr>
    </w:p>
    <w:p w14:paraId="05FBBEF3"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ושוב העמדנו נפקא מינה לשאלה אם בתפילת ערבית האדם הפך את היום ללילה.</w:t>
      </w:r>
    </w:p>
    <w:p w14:paraId="25D93237" w14:textId="77777777" w:rsidR="0087202D" w:rsidRPr="0087202D" w:rsidRDefault="0087202D" w:rsidP="0087202D">
      <w:pPr>
        <w:contextualSpacing/>
        <w:rPr>
          <w:rStyle w:val="afff8"/>
          <w:rFonts w:ascii="David" w:hAnsi="David" w:cs="David"/>
          <w:b w:val="0"/>
          <w:bCs/>
          <w:sz w:val="16"/>
          <w:szCs w:val="16"/>
          <w:rtl/>
        </w:rPr>
      </w:pPr>
    </w:p>
    <w:p w14:paraId="18683BD4" w14:textId="77777777" w:rsidR="0087202D" w:rsidRPr="007018C2" w:rsidRDefault="0087202D" w:rsidP="0087202D">
      <w:pPr>
        <w:contextualSpacing/>
        <w:rPr>
          <w:rStyle w:val="afff8"/>
          <w:rFonts w:ascii="David" w:hAnsi="David" w:cs="David"/>
          <w:b w:val="0"/>
          <w:bCs/>
          <w:rtl/>
        </w:rPr>
      </w:pPr>
      <w:r w:rsidRPr="007018C2">
        <w:rPr>
          <w:rStyle w:val="afff8"/>
          <w:rFonts w:ascii="David" w:hAnsi="David" w:cs="David"/>
          <w:rtl/>
        </w:rPr>
        <w:t xml:space="preserve">בשבוע הבא נעסוק בשאלה שעלתה אצל פוסקי הדור האחרון: המתפלל תפילת </w:t>
      </w:r>
      <w:r w:rsidRPr="009711C4">
        <w:rPr>
          <w:rStyle w:val="afff8"/>
          <w:rFonts w:ascii="David" w:hAnsi="David" w:cs="David"/>
          <w:rtl/>
        </w:rPr>
        <w:t>מנחה ו</w:t>
      </w:r>
      <w:r w:rsidRPr="009711C4">
        <w:rPr>
          <w:rStyle w:val="afff8"/>
          <w:rFonts w:ascii="David" w:hAnsi="David" w:cs="David" w:hint="cs"/>
          <w:rtl/>
        </w:rPr>
        <w:t xml:space="preserve">תפילת </w:t>
      </w:r>
      <w:r w:rsidRPr="009711C4">
        <w:rPr>
          <w:rStyle w:val="afff8"/>
          <w:rFonts w:ascii="David" w:hAnsi="David" w:cs="David"/>
          <w:rtl/>
        </w:rPr>
        <w:t>ערבית</w:t>
      </w:r>
      <w:r w:rsidRPr="007018C2">
        <w:rPr>
          <w:rStyle w:val="afff8"/>
          <w:rFonts w:ascii="David" w:hAnsi="David" w:cs="David"/>
          <w:rtl/>
        </w:rPr>
        <w:t xml:space="preserve"> מוקדמת במקום עם מניינים רבים, לדוגמא: ליד הכותל המערבי. האם יש בעיה לענות על קדיש וקדושה של תפילת מנחה של ציבור הבא לאחר מכן.</w:t>
      </w:r>
    </w:p>
    <w:p w14:paraId="71CBF14E" w14:textId="77777777" w:rsidR="0087202D" w:rsidRPr="0087202D" w:rsidRDefault="0087202D" w:rsidP="0087202D">
      <w:pPr>
        <w:contextualSpacing/>
        <w:rPr>
          <w:rFonts w:ascii="David" w:hAnsi="David" w:cs="David"/>
          <w:sz w:val="16"/>
          <w:szCs w:val="16"/>
        </w:rPr>
      </w:pPr>
    </w:p>
    <w:p w14:paraId="14F69660" w14:textId="77777777" w:rsidR="0087202D" w:rsidRDefault="009711C4" w:rsidP="00BE31A3">
      <w:pPr>
        <w:contextualSpacing/>
        <w:jc w:val="center"/>
        <w:rPr>
          <w:rFonts w:cs="David"/>
          <w:b/>
          <w:bCs/>
          <w:color w:val="0070C0"/>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571A3DB2" w14:textId="76D99A05" w:rsidR="00173367" w:rsidRPr="00173367" w:rsidRDefault="0087202D" w:rsidP="00BE31A3">
      <w:pPr>
        <w:contextualSpacing/>
        <w:jc w:val="center"/>
        <w:rPr>
          <w:rFonts w:cs="David"/>
          <w:b/>
          <w:bCs/>
          <w:color w:val="002060"/>
          <w:sz w:val="23"/>
          <w:szCs w:val="23"/>
          <w:rtl/>
          <w:lang w:eastAsia="he-I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p w14:paraId="754C0CDC" w14:textId="7A8DC354" w:rsidR="006333D3" w:rsidRDefault="006333D3" w:rsidP="00BE31A3">
      <w:pPr>
        <w:contextualSpacing/>
        <w:jc w:val="center"/>
        <w:rPr>
          <w:color w:val="0070C0"/>
          <w:rt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89"/>
        <w:gridCol w:w="296"/>
        <w:gridCol w:w="271"/>
        <w:gridCol w:w="146"/>
        <w:gridCol w:w="854"/>
        <w:gridCol w:w="421"/>
        <w:gridCol w:w="142"/>
        <w:gridCol w:w="151"/>
        <w:gridCol w:w="142"/>
        <w:gridCol w:w="1129"/>
        <w:gridCol w:w="283"/>
        <w:gridCol w:w="417"/>
        <w:gridCol w:w="297"/>
        <w:gridCol w:w="133"/>
        <w:gridCol w:w="429"/>
        <w:gridCol w:w="563"/>
        <w:gridCol w:w="279"/>
        <w:gridCol w:w="713"/>
        <w:gridCol w:w="567"/>
        <w:gridCol w:w="284"/>
      </w:tblGrid>
      <w:tr w:rsidR="009F665F" w:rsidRPr="003A5DA7" w14:paraId="7FB30466" w14:textId="77777777" w:rsidTr="0087202D">
        <w:tc>
          <w:tcPr>
            <w:tcW w:w="6832" w:type="dxa"/>
            <w:gridSpan w:val="16"/>
            <w:tcBorders>
              <w:top w:val="single" w:sz="4" w:space="0" w:color="auto"/>
              <w:left w:val="single" w:sz="4" w:space="0" w:color="auto"/>
              <w:bottom w:val="nil"/>
              <w:right w:val="nil"/>
            </w:tcBorders>
            <w:vAlign w:val="center"/>
          </w:tcPr>
          <w:p w14:paraId="6FF6D7E9" w14:textId="77777777" w:rsidR="009F665F" w:rsidRPr="00F5215F" w:rsidRDefault="009F665F" w:rsidP="00462602">
            <w:pPr>
              <w:spacing w:line="276" w:lineRule="auto"/>
              <w:contextualSpacing/>
              <w:jc w:val="center"/>
              <w:rPr>
                <w:rFonts w:cs="David"/>
                <w:b/>
                <w:bCs/>
                <w:sz w:val="6"/>
                <w:szCs w:val="6"/>
                <w:u w:val="single"/>
                <w:rtl/>
              </w:rPr>
            </w:pPr>
          </w:p>
          <w:p w14:paraId="6BC5FFA0" w14:textId="77777777" w:rsidR="009F665F" w:rsidRPr="00785CA6" w:rsidRDefault="009F665F" w:rsidP="0046260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5EC923D" w14:textId="77777777" w:rsidR="009F665F" w:rsidRPr="00DE0DD5" w:rsidRDefault="009F665F" w:rsidP="00462602">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9F665F" w:rsidRPr="003A5DA7" w14:paraId="3C2C7792" w14:textId="77777777" w:rsidTr="0087202D">
        <w:tc>
          <w:tcPr>
            <w:tcW w:w="1583" w:type="dxa"/>
            <w:gridSpan w:val="2"/>
            <w:tcBorders>
              <w:top w:val="nil"/>
              <w:left w:val="single" w:sz="4" w:space="0" w:color="auto"/>
              <w:bottom w:val="nil"/>
              <w:right w:val="nil"/>
            </w:tcBorders>
            <w:vAlign w:val="center"/>
          </w:tcPr>
          <w:p w14:paraId="11BCBFE2" w14:textId="77777777" w:rsidR="009F665F" w:rsidRPr="003A5DA7" w:rsidRDefault="009F665F" w:rsidP="0046260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6"/>
            <w:tcBorders>
              <w:top w:val="nil"/>
              <w:left w:val="nil"/>
              <w:bottom w:val="nil"/>
              <w:right w:val="nil"/>
            </w:tcBorders>
            <w:vAlign w:val="center"/>
          </w:tcPr>
          <w:p w14:paraId="1119FA46"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6"/>
            <w:tcBorders>
              <w:top w:val="nil"/>
              <w:left w:val="nil"/>
              <w:bottom w:val="nil"/>
              <w:right w:val="nil"/>
            </w:tcBorders>
            <w:vAlign w:val="center"/>
          </w:tcPr>
          <w:p w14:paraId="2CA3199C"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4"/>
            <w:tcBorders>
              <w:top w:val="nil"/>
              <w:left w:val="nil"/>
              <w:bottom w:val="nil"/>
              <w:right w:val="nil"/>
            </w:tcBorders>
            <w:vAlign w:val="center"/>
          </w:tcPr>
          <w:p w14:paraId="081A48C5" w14:textId="77777777" w:rsidR="009F665F" w:rsidRPr="003A5DA7" w:rsidRDefault="009F665F" w:rsidP="0046260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736671E6" w14:textId="2F338FFA" w:rsidR="009F665F" w:rsidRPr="003A5DA7" w:rsidRDefault="00DE0DD5" w:rsidP="00462602">
            <w:pPr>
              <w:spacing w:line="276" w:lineRule="auto"/>
              <w:contextualSpacing/>
              <w:jc w:val="center"/>
              <w:rPr>
                <w:rFonts w:cs="David"/>
                <w:b/>
                <w:bCs/>
                <w:color w:val="0070C0"/>
                <w:sz w:val="20"/>
                <w:szCs w:val="20"/>
              </w:rPr>
            </w:pPr>
            <w:r>
              <w:rPr>
                <w:rFonts w:cs="David" w:hint="cs"/>
                <w:b/>
                <w:bCs/>
                <w:color w:val="0070C0"/>
                <w:sz w:val="20"/>
                <w:szCs w:val="20"/>
                <w:rtl/>
              </w:rPr>
              <w:t>משה</w:t>
            </w:r>
            <w:r w:rsidR="006E663B">
              <w:rPr>
                <w:rFonts w:cs="David" w:hint="cs"/>
                <w:b/>
                <w:bCs/>
                <w:color w:val="0070C0"/>
                <w:sz w:val="20"/>
                <w:szCs w:val="20"/>
                <w:rtl/>
              </w:rPr>
              <w:t xml:space="preserve">  מרדכי </w:t>
            </w:r>
            <w:r>
              <w:rPr>
                <w:rFonts w:cs="David" w:hint="cs"/>
                <w:b/>
                <w:bCs/>
                <w:color w:val="0070C0"/>
                <w:sz w:val="20"/>
                <w:szCs w:val="20"/>
                <w:rtl/>
              </w:rPr>
              <w:t xml:space="preserve"> בן זינה</w:t>
            </w:r>
          </w:p>
        </w:tc>
      </w:tr>
      <w:tr w:rsidR="009F665F" w:rsidRPr="003A5DA7" w14:paraId="4B6F871B" w14:textId="77777777" w:rsidTr="0087202D">
        <w:tc>
          <w:tcPr>
            <w:tcW w:w="1302" w:type="dxa"/>
            <w:tcBorders>
              <w:top w:val="nil"/>
              <w:left w:val="single" w:sz="4" w:space="0" w:color="auto"/>
              <w:bottom w:val="nil"/>
              <w:right w:val="nil"/>
            </w:tcBorders>
            <w:vAlign w:val="center"/>
          </w:tcPr>
          <w:p w14:paraId="10F3EEFD" w14:textId="77777777" w:rsidR="009F665F" w:rsidRPr="003A5DA7" w:rsidRDefault="009F665F" w:rsidP="0046260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5" w:type="dxa"/>
            <w:gridSpan w:val="5"/>
            <w:tcBorders>
              <w:top w:val="nil"/>
              <w:left w:val="nil"/>
              <w:bottom w:val="nil"/>
              <w:right w:val="nil"/>
            </w:tcBorders>
            <w:vAlign w:val="center"/>
          </w:tcPr>
          <w:p w14:paraId="7924164E"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296" w:type="dxa"/>
            <w:tcBorders>
              <w:top w:val="nil"/>
              <w:left w:val="nil"/>
              <w:bottom w:val="nil"/>
              <w:right w:val="nil"/>
            </w:tcBorders>
            <w:vAlign w:val="center"/>
          </w:tcPr>
          <w:p w14:paraId="7878A997" w14:textId="39222DE9" w:rsidR="009F665F" w:rsidRPr="003A5DA7" w:rsidRDefault="009F665F" w:rsidP="00462602">
            <w:pPr>
              <w:spacing w:line="276" w:lineRule="auto"/>
              <w:contextualSpacing/>
              <w:jc w:val="center"/>
              <w:rPr>
                <w:rFonts w:cs="David"/>
                <w:b/>
                <w:bCs/>
                <w:color w:val="0070C0"/>
                <w:sz w:val="20"/>
                <w:szCs w:val="20"/>
              </w:rPr>
            </w:pPr>
          </w:p>
        </w:tc>
        <w:tc>
          <w:tcPr>
            <w:tcW w:w="1985" w:type="dxa"/>
            <w:gridSpan w:val="6"/>
            <w:tcBorders>
              <w:top w:val="nil"/>
              <w:left w:val="nil"/>
              <w:bottom w:val="nil"/>
              <w:right w:val="nil"/>
            </w:tcBorders>
            <w:vAlign w:val="center"/>
          </w:tcPr>
          <w:p w14:paraId="480EFE6A" w14:textId="77777777" w:rsidR="009F665F" w:rsidRPr="003A5DA7" w:rsidRDefault="009F665F" w:rsidP="0046260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672" w:type="dxa"/>
            <w:gridSpan w:val="9"/>
            <w:tcBorders>
              <w:top w:val="nil"/>
              <w:left w:val="nil"/>
              <w:bottom w:val="nil"/>
              <w:right w:val="nil"/>
            </w:tcBorders>
            <w:vAlign w:val="center"/>
          </w:tcPr>
          <w:p w14:paraId="02430C64" w14:textId="38914C20" w:rsidR="009F665F" w:rsidRPr="003A5DA7" w:rsidRDefault="00DE0DD5" w:rsidP="00462602">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564" w:type="dxa"/>
            <w:gridSpan w:val="3"/>
            <w:tcBorders>
              <w:top w:val="nil"/>
              <w:left w:val="nil"/>
              <w:bottom w:val="nil"/>
              <w:right w:val="single" w:sz="4" w:space="0" w:color="auto"/>
            </w:tcBorders>
            <w:vAlign w:val="center"/>
          </w:tcPr>
          <w:p w14:paraId="613F10AC"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9F665F" w:rsidRPr="003A5DA7" w14:paraId="20759579" w14:textId="77777777" w:rsidTr="0087202D">
        <w:tc>
          <w:tcPr>
            <w:tcW w:w="1594" w:type="dxa"/>
            <w:gridSpan w:val="3"/>
            <w:tcBorders>
              <w:top w:val="nil"/>
              <w:left w:val="single" w:sz="4" w:space="0" w:color="auto"/>
              <w:bottom w:val="nil"/>
              <w:right w:val="nil"/>
            </w:tcBorders>
            <w:vAlign w:val="center"/>
          </w:tcPr>
          <w:p w14:paraId="109EE184"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6"/>
            <w:tcBorders>
              <w:top w:val="nil"/>
              <w:left w:val="nil"/>
              <w:bottom w:val="nil"/>
              <w:right w:val="nil"/>
            </w:tcBorders>
            <w:vAlign w:val="center"/>
          </w:tcPr>
          <w:p w14:paraId="3A3E3C1A"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00947F4D" w14:textId="77777777" w:rsidR="009F665F" w:rsidRPr="003A5DA7" w:rsidRDefault="009F665F" w:rsidP="0046260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5BE455E2"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61BF9FAF"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0F5DE70D"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9F665F" w:rsidRPr="003A5DA7" w14:paraId="2C737C2E" w14:textId="77777777" w:rsidTr="0087202D">
        <w:tc>
          <w:tcPr>
            <w:tcW w:w="2308" w:type="dxa"/>
            <w:gridSpan w:val="5"/>
            <w:tcBorders>
              <w:top w:val="nil"/>
              <w:left w:val="single" w:sz="4" w:space="0" w:color="auto"/>
              <w:bottom w:val="nil"/>
              <w:right w:val="nil"/>
            </w:tcBorders>
            <w:vAlign w:val="center"/>
          </w:tcPr>
          <w:p w14:paraId="59F3FBD4"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56" w:type="dxa"/>
            <w:gridSpan w:val="5"/>
            <w:tcBorders>
              <w:top w:val="nil"/>
              <w:left w:val="nil"/>
              <w:bottom w:val="nil"/>
              <w:right w:val="nil"/>
            </w:tcBorders>
            <w:vAlign w:val="center"/>
          </w:tcPr>
          <w:p w14:paraId="0010C8B0"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985" w:type="dxa"/>
            <w:gridSpan w:val="5"/>
            <w:tcBorders>
              <w:top w:val="nil"/>
              <w:left w:val="nil"/>
              <w:bottom w:val="nil"/>
              <w:right w:val="nil"/>
            </w:tcBorders>
            <w:vAlign w:val="center"/>
          </w:tcPr>
          <w:p w14:paraId="1EEFC528" w14:textId="77777777" w:rsidR="009F665F" w:rsidRPr="003A5DA7" w:rsidRDefault="009F665F" w:rsidP="0046260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559" w:type="dxa"/>
            <w:gridSpan w:val="5"/>
            <w:tcBorders>
              <w:top w:val="nil"/>
              <w:left w:val="nil"/>
              <w:bottom w:val="nil"/>
              <w:right w:val="nil"/>
            </w:tcBorders>
            <w:vAlign w:val="center"/>
          </w:tcPr>
          <w:p w14:paraId="6F6B525E"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122" w:type="dxa"/>
            <w:gridSpan w:val="4"/>
            <w:tcBorders>
              <w:top w:val="nil"/>
              <w:left w:val="nil"/>
              <w:bottom w:val="nil"/>
              <w:right w:val="nil"/>
            </w:tcBorders>
            <w:vAlign w:val="center"/>
          </w:tcPr>
          <w:p w14:paraId="0343C887" w14:textId="77777777" w:rsidR="009F665F" w:rsidRPr="003A5DA7" w:rsidRDefault="009F665F" w:rsidP="00462602">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84" w:type="dxa"/>
            <w:tcBorders>
              <w:top w:val="nil"/>
              <w:left w:val="nil"/>
              <w:bottom w:val="nil"/>
              <w:right w:val="single" w:sz="4" w:space="0" w:color="auto"/>
            </w:tcBorders>
            <w:vAlign w:val="center"/>
          </w:tcPr>
          <w:p w14:paraId="5A709791" w14:textId="77777777" w:rsidR="009F665F" w:rsidRPr="003A5DA7" w:rsidRDefault="009F665F" w:rsidP="00462602">
            <w:pPr>
              <w:spacing w:line="276" w:lineRule="auto"/>
              <w:contextualSpacing/>
              <w:jc w:val="center"/>
              <w:rPr>
                <w:rFonts w:cs="David"/>
                <w:b/>
                <w:bCs/>
                <w:color w:val="0070C0"/>
                <w:sz w:val="20"/>
                <w:szCs w:val="20"/>
                <w:rtl/>
              </w:rPr>
            </w:pPr>
          </w:p>
        </w:tc>
      </w:tr>
      <w:tr w:rsidR="009F665F" w:rsidRPr="003A5DA7" w14:paraId="009D4285" w14:textId="77777777" w:rsidTr="0087202D">
        <w:tc>
          <w:tcPr>
            <w:tcW w:w="2297" w:type="dxa"/>
            <w:gridSpan w:val="4"/>
            <w:tcBorders>
              <w:top w:val="nil"/>
              <w:left w:val="single" w:sz="4" w:space="0" w:color="auto"/>
              <w:bottom w:val="single" w:sz="4" w:space="0" w:color="auto"/>
              <w:right w:val="nil"/>
            </w:tcBorders>
            <w:vAlign w:val="center"/>
          </w:tcPr>
          <w:p w14:paraId="656FCDC5"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7"/>
            <w:tcBorders>
              <w:top w:val="nil"/>
              <w:left w:val="nil"/>
              <w:bottom w:val="single" w:sz="4" w:space="0" w:color="auto"/>
              <w:right w:val="nil"/>
            </w:tcBorders>
            <w:vAlign w:val="center"/>
          </w:tcPr>
          <w:p w14:paraId="0D35EF56"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692B77E1"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3A2D113" w14:textId="77777777" w:rsidR="009F665F" w:rsidRPr="00F5215F" w:rsidRDefault="009F665F" w:rsidP="0046260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583B93AD" w14:textId="77777777" w:rsidR="009F665F" w:rsidRPr="007025EE" w:rsidRDefault="009F665F" w:rsidP="00462602">
            <w:pPr>
              <w:spacing w:line="276" w:lineRule="auto"/>
              <w:contextualSpacing/>
              <w:rPr>
                <w:rFonts w:cs="David"/>
                <w:b/>
                <w:bCs/>
                <w:color w:val="0070C0"/>
                <w:sz w:val="20"/>
                <w:szCs w:val="20"/>
                <w:rtl/>
              </w:rPr>
            </w:pPr>
          </w:p>
        </w:tc>
      </w:tr>
    </w:tbl>
    <w:p w14:paraId="677B7356" w14:textId="38DEAC44" w:rsidR="00C37984" w:rsidRDefault="00B96A4F"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72A897C8">
            <wp:simplePos x="0" y="0"/>
            <wp:positionH relativeFrom="margin">
              <wp:posOffset>2915920</wp:posOffset>
            </wp:positionH>
            <wp:positionV relativeFrom="paragraph">
              <wp:posOffset>-134620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bookmarkEnd w:id="0"/>
    <w:p w14:paraId="09CE4F96" w14:textId="77777777" w:rsidR="00AB6D7F" w:rsidRPr="0087202D" w:rsidRDefault="00AB6D7F" w:rsidP="00AB6D7F">
      <w:pPr>
        <w:contextualSpacing/>
        <w:rPr>
          <w:rFonts w:cs="David"/>
          <w:sz w:val="16"/>
          <w:szCs w:val="16"/>
          <w:rtl/>
          <w:lang w:eastAsia="he-IL"/>
        </w:rPr>
      </w:pPr>
    </w:p>
    <w:p w14:paraId="06286BC5" w14:textId="77777777" w:rsidR="00953DE9" w:rsidRPr="00953DE9" w:rsidRDefault="00953DE9" w:rsidP="00953DE9">
      <w:pPr>
        <w:contextualSpacing/>
        <w:rPr>
          <w:rFonts w:cs="David"/>
          <w:rtl/>
          <w:lang w:eastAsia="he-IL"/>
        </w:rPr>
      </w:pPr>
      <w:r w:rsidRPr="00953DE9">
        <w:rPr>
          <w:rFonts w:cs="David" w:hint="cs"/>
          <w:rtl/>
          <w:lang w:eastAsia="he-IL"/>
        </w:rPr>
        <w:t xml:space="preserve">(מתוך </w:t>
      </w:r>
      <w:proofErr w:type="spellStart"/>
      <w:r w:rsidRPr="00953DE9">
        <w:rPr>
          <w:rFonts w:cs="David" w:hint="cs"/>
          <w:rtl/>
          <w:lang w:eastAsia="he-IL"/>
        </w:rPr>
        <w:t>ח"ז</w:t>
      </w:r>
      <w:proofErr w:type="spellEnd"/>
      <w:r w:rsidRPr="00953DE9">
        <w:rPr>
          <w:rFonts w:cs="David" w:hint="cs"/>
          <w:rtl/>
          <w:lang w:eastAsia="he-IL"/>
        </w:rPr>
        <w:t>)</w:t>
      </w:r>
    </w:p>
    <w:p w14:paraId="57BB1049" w14:textId="77777777" w:rsidR="00953DE9" w:rsidRPr="0087202D" w:rsidRDefault="00953DE9" w:rsidP="00953DE9">
      <w:pPr>
        <w:contextualSpacing/>
        <w:rPr>
          <w:rFonts w:cs="David"/>
          <w:sz w:val="16"/>
          <w:szCs w:val="16"/>
          <w:rtl/>
        </w:rPr>
      </w:pPr>
    </w:p>
    <w:p w14:paraId="3E6CAD0E" w14:textId="34261CF5" w:rsidR="00953DE9" w:rsidRPr="00953DE9" w:rsidRDefault="00953DE9" w:rsidP="00953DE9">
      <w:pPr>
        <w:contextualSpacing/>
        <w:rPr>
          <w:rFonts w:cs="David"/>
          <w:b/>
          <w:bCs/>
          <w:sz w:val="32"/>
          <w:szCs w:val="32"/>
          <w:lang w:eastAsia="he-IL"/>
        </w:rPr>
      </w:pPr>
      <w:r w:rsidRPr="00953DE9">
        <w:rPr>
          <w:rFonts w:cs="David" w:hint="cs"/>
          <w:b/>
          <w:bCs/>
          <w:sz w:val="32"/>
          <w:szCs w:val="32"/>
          <w:rtl/>
          <w:lang w:eastAsia="he-IL"/>
        </w:rPr>
        <w:t>ניו יורק, ארה"ב</w:t>
      </w:r>
      <w:r w:rsidRPr="00953DE9">
        <w:rPr>
          <w:rFonts w:cs="David" w:hint="cs"/>
          <w:b/>
          <w:bCs/>
          <w:sz w:val="32"/>
          <w:szCs w:val="32"/>
          <w:rtl/>
          <w:lang w:eastAsia="he-IL"/>
        </w:rPr>
        <w:tab/>
      </w:r>
      <w:r w:rsidRPr="00953DE9">
        <w:rPr>
          <w:rFonts w:cs="David" w:hint="cs"/>
          <w:b/>
          <w:bCs/>
          <w:sz w:val="32"/>
          <w:szCs w:val="32"/>
          <w:rtl/>
          <w:lang w:eastAsia="he-IL"/>
        </w:rPr>
        <w:tab/>
      </w:r>
      <w:r w:rsidRPr="00953DE9">
        <w:rPr>
          <w:rFonts w:cs="David" w:hint="cs"/>
          <w:b/>
          <w:bCs/>
          <w:sz w:val="32"/>
          <w:szCs w:val="32"/>
          <w:rtl/>
          <w:lang w:eastAsia="he-IL"/>
        </w:rPr>
        <w:tab/>
      </w:r>
      <w:r w:rsidRPr="00953DE9">
        <w:rPr>
          <w:rFonts w:cs="David" w:hint="cs"/>
          <w:b/>
          <w:bCs/>
          <w:sz w:val="32"/>
          <w:szCs w:val="32"/>
          <w:rtl/>
          <w:lang w:eastAsia="he-IL"/>
        </w:rPr>
        <w:tab/>
        <w:t xml:space="preserve"> </w:t>
      </w:r>
      <w:r w:rsidRPr="00953DE9">
        <w:rPr>
          <w:rFonts w:cs="David"/>
          <w:b/>
          <w:bCs/>
          <w:sz w:val="32"/>
          <w:szCs w:val="32"/>
          <w:rtl/>
          <w:lang w:eastAsia="he-IL"/>
        </w:rPr>
        <w:tab/>
      </w:r>
      <w:r w:rsidRPr="00953DE9">
        <w:rPr>
          <w:rFonts w:cs="David"/>
          <w:b/>
          <w:bCs/>
          <w:sz w:val="32"/>
          <w:szCs w:val="32"/>
          <w:rtl/>
          <w:lang w:eastAsia="he-IL"/>
        </w:rPr>
        <w:tab/>
      </w:r>
      <w:r w:rsidRPr="00953DE9">
        <w:rPr>
          <w:rFonts w:cs="David"/>
          <w:b/>
          <w:bCs/>
          <w:sz w:val="32"/>
          <w:szCs w:val="32"/>
          <w:rtl/>
          <w:lang w:eastAsia="he-IL"/>
        </w:rPr>
        <w:tab/>
      </w:r>
      <w:r w:rsidRPr="00953DE9">
        <w:rPr>
          <w:rFonts w:cs="David"/>
          <w:b/>
          <w:bCs/>
          <w:sz w:val="32"/>
          <w:szCs w:val="32"/>
          <w:rtl/>
          <w:lang w:eastAsia="he-IL"/>
        </w:rPr>
        <w:tab/>
      </w:r>
      <w:r w:rsidRPr="00953DE9">
        <w:rPr>
          <w:rFonts w:cs="David" w:hint="cs"/>
          <w:b/>
          <w:bCs/>
          <w:sz w:val="32"/>
          <w:szCs w:val="32"/>
          <w:rtl/>
          <w:lang w:eastAsia="he-IL"/>
        </w:rPr>
        <w:t xml:space="preserve">               </w:t>
      </w:r>
      <w:r>
        <w:rPr>
          <w:rFonts w:cs="David" w:hint="cs"/>
          <w:b/>
          <w:bCs/>
          <w:sz w:val="32"/>
          <w:szCs w:val="32"/>
          <w:rtl/>
          <w:lang w:eastAsia="he-IL"/>
        </w:rPr>
        <w:t xml:space="preserve">  </w:t>
      </w:r>
      <w:r w:rsidRPr="00953DE9">
        <w:rPr>
          <w:rFonts w:cs="David" w:hint="cs"/>
          <w:b/>
          <w:bCs/>
          <w:sz w:val="32"/>
          <w:szCs w:val="32"/>
          <w:rtl/>
          <w:lang w:eastAsia="he-IL"/>
        </w:rPr>
        <w:t xml:space="preserve">      </w:t>
      </w:r>
      <w:r w:rsidRPr="00953DE9">
        <w:rPr>
          <w:rFonts w:cs="David"/>
          <w:b/>
          <w:bCs/>
          <w:sz w:val="32"/>
          <w:szCs w:val="32"/>
          <w:lang w:eastAsia="he-IL"/>
        </w:rPr>
        <w:t>New York, USA</w:t>
      </w:r>
    </w:p>
    <w:p w14:paraId="6A37BCDD" w14:textId="77777777" w:rsidR="00953DE9" w:rsidRPr="00953DE9" w:rsidRDefault="00953DE9" w:rsidP="00953DE9">
      <w:pPr>
        <w:contextualSpacing/>
        <w:rPr>
          <w:rFonts w:cs="David"/>
          <w:rtl/>
          <w:lang w:eastAsia="he-IL"/>
        </w:rPr>
      </w:pPr>
      <w:r w:rsidRPr="00953DE9">
        <w:rPr>
          <w:rFonts w:cs="David" w:hint="cs"/>
          <w:rtl/>
          <w:lang w:eastAsia="he-IL"/>
        </w:rPr>
        <w:t>סיוון תשס"ח</w:t>
      </w:r>
    </w:p>
    <w:p w14:paraId="77554EC3" w14:textId="77777777" w:rsidR="00953DE9" w:rsidRPr="0087202D" w:rsidRDefault="00953DE9" w:rsidP="00953DE9">
      <w:pPr>
        <w:contextualSpacing/>
        <w:rPr>
          <w:rFonts w:cs="David"/>
          <w:sz w:val="16"/>
          <w:szCs w:val="16"/>
          <w:rtl/>
          <w:lang w:eastAsia="he-IL"/>
        </w:rPr>
      </w:pPr>
    </w:p>
    <w:p w14:paraId="1EBB7EEF" w14:textId="77777777" w:rsidR="00953DE9" w:rsidRPr="00953DE9" w:rsidRDefault="00953DE9" w:rsidP="00953DE9">
      <w:pPr>
        <w:contextualSpacing/>
        <w:rPr>
          <w:rFonts w:ascii="David" w:hAnsi="David" w:cs="David"/>
          <w:b/>
          <w:bCs/>
          <w:color w:val="0070C0"/>
          <w:kern w:val="2"/>
          <w:sz w:val="30"/>
          <w:szCs w:val="30"/>
          <w:rtl/>
          <w14:ligatures w14:val="standardContextual"/>
        </w:rPr>
      </w:pPr>
      <w:r w:rsidRPr="00953DE9">
        <w:rPr>
          <w:rFonts w:ascii="David" w:hAnsi="David" w:cs="David"/>
          <w:b/>
          <w:bCs/>
          <w:color w:val="0070C0"/>
          <w:kern w:val="2"/>
          <w:sz w:val="30"/>
          <w:szCs w:val="30"/>
          <w:rtl/>
          <w14:ligatures w14:val="standardContextual"/>
        </w:rPr>
        <w:t>תרומת רקמת אשך כפתרון לבע</w:t>
      </w:r>
      <w:r w:rsidRPr="00953DE9">
        <w:rPr>
          <w:rFonts w:ascii="David" w:hAnsi="David" w:cs="David" w:hint="cs"/>
          <w:b/>
          <w:bCs/>
          <w:color w:val="0070C0"/>
          <w:kern w:val="2"/>
          <w:sz w:val="30"/>
          <w:szCs w:val="30"/>
          <w:rtl/>
          <w14:ligatures w14:val="standardContextual"/>
        </w:rPr>
        <w:t>י</w:t>
      </w:r>
      <w:r w:rsidRPr="00953DE9">
        <w:rPr>
          <w:rFonts w:ascii="David" w:hAnsi="David" w:cs="David"/>
          <w:b/>
          <w:bCs/>
          <w:color w:val="0070C0"/>
          <w:kern w:val="2"/>
          <w:sz w:val="30"/>
          <w:szCs w:val="30"/>
          <w:rtl/>
          <w14:ligatures w14:val="standardContextual"/>
        </w:rPr>
        <w:t>ית פוריות</w:t>
      </w:r>
    </w:p>
    <w:p w14:paraId="1A01667A" w14:textId="77777777" w:rsidR="00953DE9" w:rsidRPr="0087202D" w:rsidRDefault="00953DE9" w:rsidP="00953DE9">
      <w:pPr>
        <w:contextualSpacing/>
        <w:rPr>
          <w:rFonts w:cs="David"/>
          <w:sz w:val="16"/>
          <w:szCs w:val="16"/>
          <w:rtl/>
          <w:lang w:eastAsia="he-IL"/>
        </w:rPr>
      </w:pPr>
    </w:p>
    <w:p w14:paraId="42C50D05" w14:textId="77777777" w:rsidR="00953DE9" w:rsidRPr="00953DE9" w:rsidRDefault="00953DE9" w:rsidP="00953DE9">
      <w:pPr>
        <w:contextualSpacing/>
        <w:rPr>
          <w:rFonts w:cs="David"/>
          <w:b/>
          <w:bCs/>
          <w:sz w:val="26"/>
          <w:szCs w:val="26"/>
          <w:rtl/>
          <w:lang w:eastAsia="he-IL"/>
        </w:rPr>
      </w:pPr>
      <w:r w:rsidRPr="00953DE9">
        <w:rPr>
          <w:rFonts w:cs="David" w:hint="cs"/>
          <w:b/>
          <w:bCs/>
          <w:sz w:val="26"/>
          <w:szCs w:val="26"/>
          <w:rtl/>
          <w:lang w:eastAsia="he-IL"/>
        </w:rPr>
        <w:t>שאלה</w:t>
      </w:r>
    </w:p>
    <w:p w14:paraId="1C914339" w14:textId="77777777" w:rsidR="00953DE9" w:rsidRPr="00953DE9" w:rsidRDefault="00953DE9" w:rsidP="00953DE9">
      <w:pPr>
        <w:contextualSpacing/>
        <w:rPr>
          <w:rFonts w:cs="David"/>
          <w:rtl/>
        </w:rPr>
      </w:pPr>
      <w:r w:rsidRPr="00953DE9">
        <w:rPr>
          <w:rFonts w:cs="David" w:hint="cs"/>
          <w:rtl/>
        </w:rPr>
        <w:t xml:space="preserve">זוג צעיר אינו יכולים להביא ילדים לעולם כי אין לבעל תאי זרע כלל </w:t>
      </w:r>
      <w:r w:rsidRPr="00953DE9">
        <w:rPr>
          <w:rFonts w:cs="David"/>
          <w:rtl/>
        </w:rPr>
        <w:t>–</w:t>
      </w:r>
      <w:r w:rsidRPr="00953DE9">
        <w:rPr>
          <w:rFonts w:cs="David" w:hint="cs"/>
          <w:rtl/>
        </w:rPr>
        <w:t xml:space="preserve"> אפילו זרעים אחדים בשביל </w:t>
      </w:r>
      <w:r w:rsidRPr="00953DE9">
        <w:rPr>
          <w:rFonts w:cs="David" w:hint="cs"/>
        </w:rPr>
        <w:t>ICSI</w:t>
      </w:r>
      <w:r w:rsidRPr="00953DE9">
        <w:rPr>
          <w:rFonts w:cs="David" w:hint="cs"/>
          <w:rtl/>
        </w:rPr>
        <w:t>. הבעל איננו מוכן לסמוך על הפוסקים המתירים הזרעה מלאכותית עם זרע זר, אך הוא מוכן לסמוך על העמדה שבהשתלת אברים התורם "מאבד" את בעלותו על האבר שהושתל, והשתל נחשב כחלק מגוף האדם שקיבל אותו.</w:t>
      </w:r>
    </w:p>
    <w:p w14:paraId="0BCCA359" w14:textId="77777777" w:rsidR="00953DE9" w:rsidRPr="00953DE9" w:rsidRDefault="00953DE9" w:rsidP="00953DE9">
      <w:pPr>
        <w:contextualSpacing/>
        <w:rPr>
          <w:rFonts w:cs="David"/>
          <w:rtl/>
        </w:rPr>
      </w:pPr>
      <w:r w:rsidRPr="00953DE9">
        <w:rPr>
          <w:rFonts w:cs="David" w:hint="cs"/>
          <w:rtl/>
        </w:rPr>
        <w:t>הבעל הציע לשתול כמה תאים (פחות מ-</w:t>
      </w:r>
      <w:r w:rsidRPr="00953DE9">
        <w:rPr>
          <w:rFonts w:cs="David"/>
        </w:rPr>
        <w:t>cc</w:t>
      </w:r>
      <w:r w:rsidRPr="00953DE9">
        <w:rPr>
          <w:rFonts w:cs="David" w:hint="cs"/>
          <w:rtl/>
        </w:rPr>
        <w:t xml:space="preserve"> אחד דרך ביופסיה) מאשך של איש אחר. רקמת האשך של התורם תושתל בתוך האשך של המקבל, ואז יאוחה החתך של האשך ושל שק האשכים. לאחר המתנה קצרה, החתכים ייפתחו מחדש ורקמת האשך של התורם תוסר לצורך הפריה באמצעות </w:t>
      </w:r>
      <w:r w:rsidRPr="00953DE9">
        <w:rPr>
          <w:rFonts w:cs="David" w:hint="cs"/>
        </w:rPr>
        <w:t>ICSI</w:t>
      </w:r>
      <w:r w:rsidRPr="00953DE9">
        <w:rPr>
          <w:rFonts w:cs="David" w:hint="cs"/>
          <w:rtl/>
        </w:rPr>
        <w:t>.</w:t>
      </w:r>
    </w:p>
    <w:p w14:paraId="44A3454E" w14:textId="77777777" w:rsidR="00953DE9" w:rsidRPr="00953DE9" w:rsidRDefault="00953DE9" w:rsidP="00953DE9">
      <w:pPr>
        <w:contextualSpacing/>
        <w:rPr>
          <w:rFonts w:cs="David"/>
          <w:rtl/>
        </w:rPr>
      </w:pPr>
      <w:r w:rsidRPr="00953DE9">
        <w:rPr>
          <w:rFonts w:cs="David" w:hint="cs"/>
          <w:rtl/>
        </w:rPr>
        <w:t>מבחינה רפואית, ניתן לעשות את הדבר מבלי לגרום כל נזק לתורם או לבעל, אך מובן שהדבר יוצר בעיות הלכתיות אחרות. אחי הבעל מוכן להיות התורם.</w:t>
      </w:r>
    </w:p>
    <w:p w14:paraId="46A68F1D" w14:textId="77777777" w:rsidR="00953DE9" w:rsidRPr="0087202D" w:rsidRDefault="00953DE9" w:rsidP="00953DE9">
      <w:pPr>
        <w:contextualSpacing/>
        <w:rPr>
          <w:rFonts w:cs="David"/>
          <w:sz w:val="16"/>
          <w:szCs w:val="16"/>
        </w:rPr>
      </w:pPr>
      <w:r w:rsidRPr="0087202D">
        <w:rPr>
          <w:rFonts w:cs="David" w:hint="cs"/>
          <w:sz w:val="16"/>
          <w:szCs w:val="16"/>
          <w:rtl/>
        </w:rPr>
        <w:t> </w:t>
      </w:r>
    </w:p>
    <w:p w14:paraId="7ECD13D6" w14:textId="77777777" w:rsidR="00953DE9" w:rsidRPr="00953DE9" w:rsidRDefault="00953DE9" w:rsidP="00953DE9">
      <w:pPr>
        <w:contextualSpacing/>
        <w:rPr>
          <w:rFonts w:ascii="Arial" w:hAnsi="Arial" w:cs="David"/>
          <w:b/>
          <w:bCs/>
          <w:sz w:val="26"/>
          <w:szCs w:val="26"/>
          <w:rtl/>
          <w:lang w:eastAsia="he-IL"/>
        </w:rPr>
      </w:pPr>
      <w:r w:rsidRPr="00953DE9">
        <w:rPr>
          <w:rFonts w:ascii="Arial" w:hAnsi="Arial" w:cs="David" w:hint="cs"/>
          <w:b/>
          <w:bCs/>
          <w:sz w:val="26"/>
          <w:szCs w:val="26"/>
          <w:rtl/>
          <w:lang w:eastAsia="he-IL"/>
        </w:rPr>
        <w:t>תשובה</w:t>
      </w:r>
    </w:p>
    <w:p w14:paraId="1C7F03D0" w14:textId="77777777" w:rsidR="00953DE9" w:rsidRPr="00953DE9" w:rsidRDefault="00953DE9" w:rsidP="00953DE9">
      <w:pPr>
        <w:contextualSpacing/>
        <w:rPr>
          <w:rFonts w:cs="David"/>
          <w:rtl/>
        </w:rPr>
      </w:pPr>
      <w:r w:rsidRPr="00953DE9">
        <w:rPr>
          <w:rFonts w:cs="David" w:hint="cs"/>
          <w:rtl/>
        </w:rPr>
        <w:t>היות שיש סברות חזקות שלמרות ההשתלה, הוולד מיוחס לתורם הרקמה ולא למושתל, ולכל הפחות הדבר בגדר ספק</w:t>
      </w:r>
      <w:r w:rsidRPr="00953DE9">
        <w:rPr>
          <w:rFonts w:cs="David" w:hint="cs"/>
          <w:vertAlign w:val="superscript"/>
          <w:rtl/>
        </w:rPr>
        <w:t>1</w:t>
      </w:r>
      <w:r w:rsidRPr="00953DE9">
        <w:rPr>
          <w:rFonts w:cs="David" w:hint="cs"/>
          <w:rtl/>
        </w:rPr>
        <w:t>, הרי שיש לדחות את ההצעה, ואין לעשות את השתלת רקמת האשך וההפריה. פעולה שכזו עלולה לגרום, לשיטות מסוימות, לחשש ממזרות של הוולד</w:t>
      </w:r>
      <w:r w:rsidRPr="00953DE9">
        <w:rPr>
          <w:rFonts w:cs="David" w:hint="cs"/>
          <w:vertAlign w:val="superscript"/>
          <w:rtl/>
        </w:rPr>
        <w:t>2</w:t>
      </w:r>
      <w:r w:rsidRPr="00953DE9">
        <w:rPr>
          <w:rFonts w:cs="David" w:hint="cs"/>
          <w:rtl/>
        </w:rPr>
        <w:t>, ואף שאין כאן חשש לדין "פצוע דכא"</w:t>
      </w:r>
      <w:r w:rsidRPr="00953DE9">
        <w:rPr>
          <w:rFonts w:cs="David" w:hint="cs"/>
          <w:vertAlign w:val="superscript"/>
          <w:rtl/>
        </w:rPr>
        <w:t>3</w:t>
      </w:r>
      <w:r w:rsidRPr="00953DE9">
        <w:rPr>
          <w:rFonts w:cs="David" w:hint="cs"/>
          <w:rtl/>
        </w:rPr>
        <w:t xml:space="preserve"> – מכל מקום יש לחשוש לחבלה וסיכון</w:t>
      </w:r>
      <w:r w:rsidRPr="00953DE9">
        <w:rPr>
          <w:rFonts w:cs="David" w:hint="cs"/>
          <w:vertAlign w:val="superscript"/>
          <w:rtl/>
        </w:rPr>
        <w:t>4</w:t>
      </w:r>
      <w:r w:rsidRPr="00953DE9">
        <w:rPr>
          <w:rFonts w:cs="David" w:hint="cs"/>
          <w:rtl/>
        </w:rPr>
        <w:t xml:space="preserve"> שקיימים בעצם הוצאת רקמת האשך מהתורם. </w:t>
      </w:r>
    </w:p>
    <w:p w14:paraId="4FC1FAD5" w14:textId="77777777" w:rsidR="00953DE9" w:rsidRPr="00953DE9" w:rsidRDefault="00953DE9" w:rsidP="00953DE9">
      <w:pPr>
        <w:contextualSpacing/>
        <w:rPr>
          <w:rFonts w:cs="David"/>
          <w:rtl/>
        </w:rPr>
      </w:pPr>
      <w:r w:rsidRPr="00953DE9">
        <w:rPr>
          <w:rFonts w:cs="David" w:hint="cs"/>
          <w:rtl/>
        </w:rPr>
        <w:t>יתרה מזו, הרעיון של תרומה מאחי הבעל בעייתי מאוד מבחינות רבות, בעיקר פסיכולוגיות. לא הרחבנו בנושא כיוון שיש להיוועץ בבעלי מקצוע בכל מקום שיש חשש שכזה.</w:t>
      </w:r>
    </w:p>
    <w:p w14:paraId="5FC0A707" w14:textId="77777777" w:rsidR="00953DE9" w:rsidRPr="00953DE9" w:rsidRDefault="00953DE9" w:rsidP="00953DE9">
      <w:pPr>
        <w:contextualSpacing/>
        <w:rPr>
          <w:rFonts w:cs="David"/>
          <w:rtl/>
        </w:rPr>
      </w:pPr>
      <w:r w:rsidRPr="00953DE9">
        <w:rPr>
          <w:rFonts w:cs="David" w:hint="cs"/>
          <w:rtl/>
        </w:rPr>
        <w:t>יש לשוחח עם הבעל ולהבהיר לו שהפתרון ההלכתי האפשרי למצבם של בני הזוג הוא קבלת היתר לתרומת זרע מגוי, על סמך הפוסקים המתירים זאת</w:t>
      </w:r>
      <w:r w:rsidRPr="00953DE9">
        <w:rPr>
          <w:rFonts w:cs="David" w:hint="cs"/>
          <w:vertAlign w:val="superscript"/>
          <w:rtl/>
        </w:rPr>
        <w:t>5</w:t>
      </w:r>
      <w:r w:rsidRPr="00953DE9">
        <w:rPr>
          <w:rFonts w:cs="David" w:hint="cs"/>
          <w:rtl/>
        </w:rPr>
        <w:t>.</w:t>
      </w:r>
    </w:p>
    <w:p w14:paraId="7CD495B9" w14:textId="77777777" w:rsidR="00953DE9" w:rsidRPr="00786400" w:rsidRDefault="00953DE9" w:rsidP="00953DE9">
      <w:pPr>
        <w:contextualSpacing/>
        <w:rPr>
          <w:rFonts w:cs="David"/>
          <w:sz w:val="8"/>
          <w:szCs w:val="8"/>
          <w:rtl/>
        </w:rPr>
      </w:pPr>
    </w:p>
    <w:p w14:paraId="0280E6C7" w14:textId="77777777" w:rsidR="00953DE9" w:rsidRPr="00953DE9" w:rsidRDefault="00953DE9" w:rsidP="00953DE9">
      <w:pPr>
        <w:tabs>
          <w:tab w:val="left" w:pos="2551"/>
        </w:tabs>
        <w:contextualSpacing/>
        <w:rPr>
          <w:rFonts w:cs="David"/>
          <w:sz w:val="10"/>
          <w:szCs w:val="10"/>
          <w:rtl/>
        </w:rPr>
      </w:pPr>
      <w:r w:rsidRPr="00953DE9">
        <w:rPr>
          <w:rFonts w:cs="David" w:hint="cs"/>
          <w:sz w:val="10"/>
          <w:szCs w:val="10"/>
          <w:rtl/>
        </w:rPr>
        <w:t>___________________________________________________</w:t>
      </w:r>
    </w:p>
    <w:p w14:paraId="26220A7B" w14:textId="77777777" w:rsidR="00953DE9" w:rsidRPr="00953DE9" w:rsidRDefault="00953DE9" w:rsidP="00953DE9">
      <w:pPr>
        <w:contextualSpacing/>
        <w:rPr>
          <w:rFonts w:cs="David"/>
          <w:sz w:val="10"/>
          <w:szCs w:val="10"/>
          <w:rtl/>
        </w:rPr>
      </w:pPr>
    </w:p>
    <w:p w14:paraId="02F8CE48" w14:textId="77777777" w:rsidR="00953DE9" w:rsidRPr="0087202D" w:rsidRDefault="00953DE9" w:rsidP="00953DE9">
      <w:pPr>
        <w:ind w:left="141" w:hanging="141"/>
        <w:rPr>
          <w:rFonts w:cs="David"/>
          <w:sz w:val="20"/>
          <w:szCs w:val="20"/>
          <w:rtl/>
        </w:rPr>
      </w:pPr>
      <w:r w:rsidRPr="0087202D">
        <w:rPr>
          <w:rFonts w:cs="David" w:hint="cs"/>
          <w:sz w:val="20"/>
          <w:szCs w:val="20"/>
          <w:vertAlign w:val="superscript"/>
          <w:rtl/>
        </w:rPr>
        <w:t>1</w:t>
      </w:r>
      <w:r w:rsidRPr="0087202D">
        <w:rPr>
          <w:rFonts w:cs="David"/>
          <w:sz w:val="20"/>
          <w:szCs w:val="20"/>
          <w:rtl/>
        </w:rPr>
        <w:t xml:space="preserve"> </w:t>
      </w:r>
      <w:r w:rsidRPr="0087202D">
        <w:rPr>
          <w:rFonts w:cs="David"/>
          <w:sz w:val="20"/>
          <w:szCs w:val="20"/>
          <w:rtl/>
        </w:rPr>
        <w:tab/>
      </w:r>
      <w:r w:rsidRPr="0087202D">
        <w:rPr>
          <w:rFonts w:cs="David" w:hint="cs"/>
          <w:sz w:val="20"/>
          <w:szCs w:val="20"/>
          <w:rtl/>
        </w:rPr>
        <w:t xml:space="preserve">הפוסקים בדור האחרון דנו רבות בשאלה של "אם פונדקאית", היינו, האם כאשר משתילים ביצית מופרית ברחמה של אשה אחרת, הולד </w:t>
      </w:r>
      <w:proofErr w:type="spellStart"/>
      <w:r w:rsidRPr="0087202D">
        <w:rPr>
          <w:rFonts w:cs="David" w:hint="cs"/>
          <w:sz w:val="20"/>
          <w:szCs w:val="20"/>
          <w:rtl/>
        </w:rPr>
        <w:t>מתיחס</w:t>
      </w:r>
      <w:proofErr w:type="spellEnd"/>
      <w:r w:rsidRPr="0087202D">
        <w:rPr>
          <w:rFonts w:cs="David" w:hint="cs"/>
          <w:sz w:val="20"/>
          <w:szCs w:val="20"/>
          <w:rtl/>
        </w:rPr>
        <w:t xml:space="preserve"> לאם היולדת, ה"פונדקאית" או לבעלת הביצית. פוסקים רבים סוברים שישנו ספק שקול מי נחשבת </w:t>
      </w:r>
      <w:proofErr w:type="spellStart"/>
      <w:r w:rsidRPr="0087202D">
        <w:rPr>
          <w:rFonts w:cs="David" w:hint="cs"/>
          <w:sz w:val="20"/>
          <w:szCs w:val="20"/>
          <w:rtl/>
        </w:rPr>
        <w:t>לאמו</w:t>
      </w:r>
      <w:proofErr w:type="spellEnd"/>
      <w:r w:rsidRPr="0087202D">
        <w:rPr>
          <w:rFonts w:cs="David" w:hint="cs"/>
          <w:sz w:val="20"/>
          <w:szCs w:val="20"/>
          <w:rtl/>
        </w:rPr>
        <w:t xml:space="preserve"> של הוולד, יש מי שפוסק שבעלת הביצית היא האם, ויש מי שפוסק שהיולדת היא האם. לסיכום השיטות בעניין ייחוס הוולד עיין ב"אנציקלופדיה הלכתית רפואיות" ("הפריה חוץ גופית", ב עמ' 859-867). בדומה לכך דנו הפוסקים ביחס ל"תרומת זרע", האם הוולד </w:t>
      </w:r>
      <w:proofErr w:type="spellStart"/>
      <w:r w:rsidRPr="0087202D">
        <w:rPr>
          <w:rFonts w:cs="David" w:hint="cs"/>
          <w:sz w:val="20"/>
          <w:szCs w:val="20"/>
          <w:rtl/>
        </w:rPr>
        <w:t>מתיחס</w:t>
      </w:r>
      <w:proofErr w:type="spellEnd"/>
      <w:r w:rsidRPr="0087202D">
        <w:rPr>
          <w:rFonts w:cs="David" w:hint="cs"/>
          <w:sz w:val="20"/>
          <w:szCs w:val="20"/>
          <w:rtl/>
        </w:rPr>
        <w:t xml:space="preserve"> לאביו </w:t>
      </w:r>
      <w:r w:rsidRPr="0087202D">
        <w:rPr>
          <w:rFonts w:cs="David"/>
          <w:sz w:val="20"/>
          <w:szCs w:val="20"/>
          <w:rtl/>
        </w:rPr>
        <w:t>–</w:t>
      </w:r>
      <w:r w:rsidRPr="0087202D">
        <w:rPr>
          <w:rFonts w:cs="David" w:hint="cs"/>
          <w:sz w:val="20"/>
          <w:szCs w:val="20"/>
          <w:rtl/>
        </w:rPr>
        <w:t xml:space="preserve"> או לאו.(שם "הזרעה מלאכותית" עמ' 573-574) השאלה שלפנינו עוסקת בנדון דומה, ויש לדון לגבי הסברות שנאמרו ביחס ל"אם פונדקאית" וביחס ל"תרומת זרע", האם הן שייכות גם בנדון דידן.</w:t>
      </w:r>
    </w:p>
    <w:p w14:paraId="1E0E501D" w14:textId="77777777" w:rsidR="00953DE9" w:rsidRPr="0087202D" w:rsidRDefault="00953DE9" w:rsidP="0087202D">
      <w:pPr>
        <w:numPr>
          <w:ilvl w:val="0"/>
          <w:numId w:val="1"/>
        </w:numPr>
        <w:autoSpaceDE w:val="0"/>
        <w:autoSpaceDN w:val="0"/>
        <w:ind w:left="357" w:hanging="216"/>
        <w:rPr>
          <w:rFonts w:cs="David"/>
          <w:sz w:val="20"/>
          <w:szCs w:val="20"/>
        </w:rPr>
      </w:pPr>
      <w:r w:rsidRPr="0087202D">
        <w:rPr>
          <w:rFonts w:cs="David" w:hint="cs"/>
          <w:sz w:val="20"/>
          <w:szCs w:val="20"/>
          <w:rtl/>
        </w:rPr>
        <w:t>בשו"ת "אבן יקרה" (</w:t>
      </w:r>
      <w:proofErr w:type="spellStart"/>
      <w:r w:rsidRPr="0087202D">
        <w:rPr>
          <w:rFonts w:cs="David" w:hint="cs"/>
          <w:sz w:val="20"/>
          <w:szCs w:val="20"/>
          <w:rtl/>
        </w:rPr>
        <w:t>מהדורא</w:t>
      </w:r>
      <w:proofErr w:type="spellEnd"/>
      <w:r w:rsidRPr="0087202D">
        <w:rPr>
          <w:rFonts w:cs="David" w:hint="cs"/>
          <w:sz w:val="20"/>
          <w:szCs w:val="20"/>
          <w:rtl/>
        </w:rPr>
        <w:t xml:space="preserve"> </w:t>
      </w:r>
      <w:proofErr w:type="spellStart"/>
      <w:r w:rsidRPr="0087202D">
        <w:rPr>
          <w:rFonts w:cs="David" w:hint="cs"/>
          <w:sz w:val="20"/>
          <w:szCs w:val="20"/>
          <w:rtl/>
        </w:rPr>
        <w:t>תליתאה</w:t>
      </w:r>
      <w:proofErr w:type="spellEnd"/>
      <w:r w:rsidRPr="0087202D">
        <w:rPr>
          <w:rFonts w:cs="David" w:hint="cs"/>
          <w:sz w:val="20"/>
          <w:szCs w:val="20"/>
          <w:rtl/>
        </w:rPr>
        <w:t xml:space="preserve"> אבן העזר סי' </w:t>
      </w:r>
      <w:proofErr w:type="spellStart"/>
      <w:r w:rsidRPr="0087202D">
        <w:rPr>
          <w:rFonts w:cs="David" w:hint="cs"/>
          <w:sz w:val="20"/>
          <w:szCs w:val="20"/>
          <w:rtl/>
        </w:rPr>
        <w:t>כט</w:t>
      </w:r>
      <w:proofErr w:type="spellEnd"/>
      <w:r w:rsidRPr="0087202D">
        <w:rPr>
          <w:rFonts w:cs="David" w:hint="cs"/>
          <w:sz w:val="20"/>
          <w:szCs w:val="20"/>
          <w:rtl/>
        </w:rPr>
        <w:t xml:space="preserve">), נשאל על מקרה שבו לוקחים שחלות מגוף של אשה אחת על מנת להשתילן באשה עקרה. תשובתו הייתה שלכתחילה אין לעשות כן, מחמת סירוס </w:t>
      </w:r>
      <w:proofErr w:type="spellStart"/>
      <w:r w:rsidRPr="0087202D">
        <w:rPr>
          <w:rFonts w:cs="David" w:hint="cs"/>
          <w:sz w:val="20"/>
          <w:szCs w:val="20"/>
          <w:rtl/>
        </w:rPr>
        <w:t>האשה</w:t>
      </w:r>
      <w:proofErr w:type="spellEnd"/>
      <w:r w:rsidRPr="0087202D">
        <w:rPr>
          <w:rFonts w:cs="David" w:hint="cs"/>
          <w:sz w:val="20"/>
          <w:szCs w:val="20"/>
          <w:rtl/>
        </w:rPr>
        <w:t xml:space="preserve"> הראשונה, אך אם עברו ועשו </w:t>
      </w:r>
      <w:r w:rsidRPr="0087202D">
        <w:rPr>
          <w:rFonts w:cs="David" w:hint="eastAsia"/>
          <w:sz w:val="20"/>
          <w:szCs w:val="20"/>
          <w:rtl/>
        </w:rPr>
        <w:t xml:space="preserve">– </w:t>
      </w:r>
      <w:r w:rsidRPr="0087202D">
        <w:rPr>
          <w:rFonts w:cs="David" w:hint="cs"/>
          <w:sz w:val="20"/>
          <w:szCs w:val="20"/>
          <w:rtl/>
        </w:rPr>
        <w:t xml:space="preserve">הוולד מיוחס לאשה שאצלה הושתלו השחלות. ראייתו לכך היא מהגמרא (סוטה מג ע"ב): "ילדה שסיבכה </w:t>
      </w:r>
      <w:proofErr w:type="spellStart"/>
      <w:r w:rsidRPr="0087202D">
        <w:rPr>
          <w:rFonts w:cs="David" w:hint="cs"/>
          <w:sz w:val="20"/>
          <w:szCs w:val="20"/>
          <w:rtl/>
        </w:rPr>
        <w:t>בזקינה</w:t>
      </w:r>
      <w:proofErr w:type="spellEnd"/>
      <w:r w:rsidRPr="0087202D">
        <w:rPr>
          <w:rFonts w:cs="David" w:hint="cs"/>
          <w:sz w:val="20"/>
          <w:szCs w:val="20"/>
          <w:rtl/>
        </w:rPr>
        <w:t xml:space="preserve"> – בטלה ילדה </w:t>
      </w:r>
      <w:proofErr w:type="spellStart"/>
      <w:r w:rsidRPr="0087202D">
        <w:rPr>
          <w:rFonts w:cs="David" w:hint="cs"/>
          <w:sz w:val="20"/>
          <w:szCs w:val="20"/>
          <w:rtl/>
        </w:rPr>
        <w:t>בזקינה</w:t>
      </w:r>
      <w:proofErr w:type="spellEnd"/>
      <w:r w:rsidRPr="0087202D">
        <w:rPr>
          <w:rFonts w:cs="David" w:hint="cs"/>
          <w:sz w:val="20"/>
          <w:szCs w:val="20"/>
          <w:rtl/>
        </w:rPr>
        <w:t xml:space="preserve">, ואין בה דין עורלה". כלומר, ענף שנלקח מעץ צעיר שפירותיו עורלה והורכב על עץ שכבר עברו עליו שנות העורלה ויותר (עיין רש"י שם ד"ה שסיבכה, וד"ה בטלה – ומוכח ממנו שהוא הדין להיפך) מקבל את דין העץ שעליו הורכב, ואין בפירותיו חשש עורלה ונטע רבעי. </w:t>
      </w:r>
    </w:p>
    <w:p w14:paraId="2624259B" w14:textId="77777777" w:rsidR="00953DE9" w:rsidRPr="0087202D" w:rsidRDefault="00953DE9" w:rsidP="00953DE9">
      <w:pPr>
        <w:ind w:left="357" w:firstLine="35"/>
        <w:rPr>
          <w:rFonts w:cs="David"/>
          <w:sz w:val="20"/>
          <w:szCs w:val="20"/>
          <w:rtl/>
        </w:rPr>
      </w:pPr>
      <w:r w:rsidRPr="0087202D">
        <w:rPr>
          <w:rFonts w:cs="David" w:hint="cs"/>
          <w:sz w:val="20"/>
          <w:szCs w:val="20"/>
          <w:rtl/>
        </w:rPr>
        <w:t>מדברים אלו למד ה"ציץ אליעזר" (</w:t>
      </w:r>
      <w:proofErr w:type="spellStart"/>
      <w:r w:rsidRPr="0087202D">
        <w:rPr>
          <w:rFonts w:cs="David" w:hint="cs"/>
          <w:sz w:val="20"/>
          <w:szCs w:val="20"/>
          <w:rtl/>
        </w:rPr>
        <w:t>יט</w:t>
      </w:r>
      <w:proofErr w:type="spellEnd"/>
      <w:r w:rsidRPr="0087202D">
        <w:rPr>
          <w:rFonts w:cs="David" w:hint="cs"/>
          <w:sz w:val="20"/>
          <w:szCs w:val="20"/>
          <w:rtl/>
        </w:rPr>
        <w:t xml:space="preserve"> סי' מ; כ סי' מט) קל וחומר לפונדקאות, שבה הוולד מיוחס ליולדת, ולא לבעלת הביצית, משום שכאן אין מדובר במעמד עצמאי של השחלות או הביצית, אלא בשאלה אם לייחסן לגוף שממנו נפרדו, ופשוט לו יותר שאין לייחס אותן לגוף שממנו הופרדו לגמרי.</w:t>
      </w:r>
    </w:p>
    <w:p w14:paraId="53C37736" w14:textId="77777777" w:rsidR="00953DE9" w:rsidRPr="0087202D" w:rsidRDefault="00953DE9" w:rsidP="00953DE9">
      <w:pPr>
        <w:ind w:left="357" w:firstLine="35"/>
        <w:rPr>
          <w:rFonts w:cs="David"/>
          <w:sz w:val="20"/>
          <w:szCs w:val="20"/>
          <w:rtl/>
        </w:rPr>
      </w:pPr>
      <w:r w:rsidRPr="0087202D">
        <w:rPr>
          <w:rFonts w:cs="David" w:hint="cs"/>
          <w:sz w:val="20"/>
          <w:szCs w:val="20"/>
          <w:rtl/>
        </w:rPr>
        <w:t xml:space="preserve">אם כן, לכאורה היה מקום לומר שגם בנדון דידן, אם </w:t>
      </w:r>
      <w:proofErr w:type="spellStart"/>
      <w:r w:rsidRPr="0087202D">
        <w:rPr>
          <w:rFonts w:cs="David" w:hint="cs"/>
          <w:sz w:val="20"/>
          <w:szCs w:val="20"/>
          <w:rtl/>
        </w:rPr>
        <w:t>יקחו</w:t>
      </w:r>
      <w:proofErr w:type="spellEnd"/>
      <w:r w:rsidRPr="0087202D">
        <w:rPr>
          <w:rFonts w:cs="David" w:hint="cs"/>
          <w:sz w:val="20"/>
          <w:szCs w:val="20"/>
          <w:rtl/>
        </w:rPr>
        <w:t xml:space="preserve"> רקמת אשך עם תאי זרע מאדם אחד וישתילו אותה אצל אדם שקיים אצלו חוסר מוחלט בתאי זרע – ייוחס הוולד הנולד מתאי הזרע הללו למושתל ולא לתורם. </w:t>
      </w:r>
    </w:p>
    <w:p w14:paraId="0CC12C89" w14:textId="77777777" w:rsidR="00953DE9" w:rsidRPr="0087202D" w:rsidRDefault="00953DE9" w:rsidP="00953DE9">
      <w:pPr>
        <w:ind w:left="357"/>
        <w:rPr>
          <w:rFonts w:cs="David"/>
          <w:sz w:val="20"/>
          <w:szCs w:val="20"/>
        </w:rPr>
      </w:pPr>
      <w:r w:rsidRPr="0087202D">
        <w:rPr>
          <w:rFonts w:cs="David" w:hint="cs"/>
          <w:sz w:val="20"/>
          <w:szCs w:val="20"/>
          <w:rtl/>
        </w:rPr>
        <w:t>אמנם, לאחר העיון נראה שדווקא משם ראיה שבנדון דידן המושתל אינו נחשב לבעלים של תאי הזרע שהושתלו בגופו. נבאר את הדברים: בגמרא (מנחות סט ע"ב) מובא דין אחר על ילדה שסיבכה בזקנה: "אמר</w:t>
      </w:r>
      <w:r w:rsidRPr="0087202D">
        <w:rPr>
          <w:rFonts w:cs="David"/>
          <w:sz w:val="20"/>
          <w:szCs w:val="20"/>
          <w:rtl/>
        </w:rPr>
        <w:t xml:space="preserve"> </w:t>
      </w:r>
      <w:r w:rsidRPr="0087202D">
        <w:rPr>
          <w:rFonts w:cs="David" w:hint="cs"/>
          <w:sz w:val="20"/>
          <w:szCs w:val="20"/>
          <w:rtl/>
        </w:rPr>
        <w:t>ר</w:t>
      </w:r>
      <w:r w:rsidRPr="0087202D">
        <w:rPr>
          <w:rFonts w:cs="David"/>
          <w:sz w:val="20"/>
          <w:szCs w:val="20"/>
          <w:rtl/>
        </w:rPr>
        <w:t xml:space="preserve">' </w:t>
      </w:r>
      <w:r w:rsidRPr="0087202D">
        <w:rPr>
          <w:rFonts w:cs="David" w:hint="cs"/>
          <w:sz w:val="20"/>
          <w:szCs w:val="20"/>
          <w:rtl/>
        </w:rPr>
        <w:t>אבהו</w:t>
      </w:r>
      <w:r w:rsidRPr="0087202D">
        <w:rPr>
          <w:rFonts w:cs="David"/>
          <w:sz w:val="20"/>
          <w:szCs w:val="20"/>
          <w:rtl/>
        </w:rPr>
        <w:t xml:space="preserve"> </w:t>
      </w:r>
      <w:r w:rsidRPr="0087202D">
        <w:rPr>
          <w:rFonts w:cs="David" w:hint="cs"/>
          <w:sz w:val="20"/>
          <w:szCs w:val="20"/>
          <w:rtl/>
        </w:rPr>
        <w:t>אמר</w:t>
      </w:r>
      <w:r w:rsidRPr="0087202D">
        <w:rPr>
          <w:rFonts w:cs="David"/>
          <w:sz w:val="20"/>
          <w:szCs w:val="20"/>
          <w:rtl/>
        </w:rPr>
        <w:t xml:space="preserve"> </w:t>
      </w:r>
      <w:r w:rsidRPr="0087202D">
        <w:rPr>
          <w:rFonts w:cs="David" w:hint="cs"/>
          <w:sz w:val="20"/>
          <w:szCs w:val="20"/>
          <w:rtl/>
        </w:rPr>
        <w:t>רבי</w:t>
      </w:r>
      <w:r w:rsidRPr="0087202D">
        <w:rPr>
          <w:rFonts w:cs="David"/>
          <w:sz w:val="20"/>
          <w:szCs w:val="20"/>
          <w:rtl/>
        </w:rPr>
        <w:t xml:space="preserve"> </w:t>
      </w:r>
      <w:r w:rsidRPr="0087202D">
        <w:rPr>
          <w:rFonts w:cs="David" w:hint="cs"/>
          <w:sz w:val="20"/>
          <w:szCs w:val="20"/>
          <w:rtl/>
        </w:rPr>
        <w:t>יוחנן,</w:t>
      </w:r>
      <w:r w:rsidRPr="0087202D">
        <w:rPr>
          <w:rFonts w:cs="David"/>
          <w:sz w:val="20"/>
          <w:szCs w:val="20"/>
          <w:rtl/>
        </w:rPr>
        <w:t xml:space="preserve"> </w:t>
      </w:r>
      <w:r w:rsidRPr="0087202D">
        <w:rPr>
          <w:rFonts w:cs="David" w:hint="cs"/>
          <w:sz w:val="20"/>
          <w:szCs w:val="20"/>
          <w:rtl/>
        </w:rPr>
        <w:t>ילדה</w:t>
      </w:r>
      <w:r w:rsidRPr="0087202D">
        <w:rPr>
          <w:rFonts w:cs="David"/>
          <w:sz w:val="20"/>
          <w:szCs w:val="20"/>
          <w:rtl/>
        </w:rPr>
        <w:t xml:space="preserve"> </w:t>
      </w:r>
      <w:r w:rsidRPr="0087202D">
        <w:rPr>
          <w:rFonts w:cs="David" w:hint="cs"/>
          <w:sz w:val="20"/>
          <w:szCs w:val="20"/>
          <w:rtl/>
        </w:rPr>
        <w:t>שסבכה</w:t>
      </w:r>
      <w:r w:rsidRPr="0087202D">
        <w:rPr>
          <w:rFonts w:cs="David"/>
          <w:sz w:val="20"/>
          <w:szCs w:val="20"/>
          <w:rtl/>
        </w:rPr>
        <w:t xml:space="preserve"> </w:t>
      </w:r>
      <w:r w:rsidRPr="0087202D">
        <w:rPr>
          <w:rFonts w:cs="David" w:hint="cs"/>
          <w:sz w:val="20"/>
          <w:szCs w:val="20"/>
          <w:rtl/>
        </w:rPr>
        <w:t>בזקנה</w:t>
      </w:r>
      <w:r w:rsidRPr="0087202D">
        <w:rPr>
          <w:rFonts w:cs="David"/>
          <w:sz w:val="20"/>
          <w:szCs w:val="20"/>
          <w:rtl/>
        </w:rPr>
        <w:t xml:space="preserve"> </w:t>
      </w:r>
      <w:r w:rsidRPr="0087202D">
        <w:rPr>
          <w:rFonts w:cs="David" w:hint="cs"/>
          <w:sz w:val="20"/>
          <w:szCs w:val="20"/>
          <w:rtl/>
        </w:rPr>
        <w:t>ובה</w:t>
      </w:r>
      <w:r w:rsidRPr="0087202D">
        <w:rPr>
          <w:rFonts w:cs="David"/>
          <w:sz w:val="20"/>
          <w:szCs w:val="20"/>
          <w:rtl/>
        </w:rPr>
        <w:t xml:space="preserve"> </w:t>
      </w:r>
      <w:r w:rsidRPr="0087202D">
        <w:rPr>
          <w:rFonts w:cs="David" w:hint="cs"/>
          <w:sz w:val="20"/>
          <w:szCs w:val="20"/>
          <w:rtl/>
        </w:rPr>
        <w:t>פירות –</w:t>
      </w:r>
      <w:r w:rsidRPr="0087202D">
        <w:rPr>
          <w:rFonts w:cs="David"/>
          <w:sz w:val="20"/>
          <w:szCs w:val="20"/>
          <w:rtl/>
        </w:rPr>
        <w:t xml:space="preserve"> </w:t>
      </w:r>
      <w:r w:rsidRPr="0087202D">
        <w:rPr>
          <w:rFonts w:cs="David" w:hint="cs"/>
          <w:sz w:val="20"/>
          <w:szCs w:val="20"/>
          <w:rtl/>
        </w:rPr>
        <w:t>אפילו</w:t>
      </w:r>
      <w:r w:rsidRPr="0087202D">
        <w:rPr>
          <w:rFonts w:cs="David"/>
          <w:sz w:val="20"/>
          <w:szCs w:val="20"/>
          <w:rtl/>
        </w:rPr>
        <w:t xml:space="preserve"> </w:t>
      </w:r>
      <w:r w:rsidRPr="0087202D">
        <w:rPr>
          <w:rFonts w:cs="David" w:hint="cs"/>
          <w:sz w:val="20"/>
          <w:szCs w:val="20"/>
          <w:rtl/>
        </w:rPr>
        <w:t>הוסיף</w:t>
      </w:r>
      <w:r w:rsidRPr="0087202D">
        <w:rPr>
          <w:rFonts w:cs="David"/>
          <w:sz w:val="20"/>
          <w:szCs w:val="20"/>
          <w:rtl/>
        </w:rPr>
        <w:t xml:space="preserve"> </w:t>
      </w:r>
      <w:proofErr w:type="spellStart"/>
      <w:r w:rsidRPr="0087202D">
        <w:rPr>
          <w:rFonts w:cs="David" w:hint="cs"/>
          <w:sz w:val="20"/>
          <w:szCs w:val="20"/>
          <w:rtl/>
        </w:rPr>
        <w:t>במאתים</w:t>
      </w:r>
      <w:proofErr w:type="spellEnd"/>
      <w:r w:rsidRPr="0087202D">
        <w:rPr>
          <w:rFonts w:cs="David"/>
          <w:sz w:val="20"/>
          <w:szCs w:val="20"/>
          <w:rtl/>
        </w:rPr>
        <w:t xml:space="preserve"> </w:t>
      </w:r>
      <w:r w:rsidRPr="0087202D">
        <w:rPr>
          <w:rFonts w:cs="David" w:hint="cs"/>
          <w:sz w:val="20"/>
          <w:szCs w:val="20"/>
          <w:rtl/>
        </w:rPr>
        <w:t xml:space="preserve">אסור". כלומר, הפירות שהיו כבר על ענף של אילן שפירותיו עורלה אינם </w:t>
      </w:r>
      <w:proofErr w:type="spellStart"/>
      <w:r w:rsidRPr="0087202D">
        <w:rPr>
          <w:rFonts w:cs="David" w:hint="cs"/>
          <w:sz w:val="20"/>
          <w:szCs w:val="20"/>
          <w:rtl/>
        </w:rPr>
        <w:t>ניתרים</w:t>
      </w:r>
      <w:proofErr w:type="spellEnd"/>
      <w:r w:rsidRPr="0087202D">
        <w:rPr>
          <w:rFonts w:cs="David" w:hint="cs"/>
          <w:sz w:val="20"/>
          <w:szCs w:val="20"/>
          <w:rtl/>
        </w:rPr>
        <w:t xml:space="preserve"> בהרכבה על האילן הזקן, אפילו אם הוסיפו לגדול בו. דין זה נפסק על-ידי הרמב"ם (מעשר שני פרק י הל' </w:t>
      </w:r>
      <w:proofErr w:type="spellStart"/>
      <w:r w:rsidRPr="0087202D">
        <w:rPr>
          <w:rFonts w:cs="David" w:hint="cs"/>
          <w:sz w:val="20"/>
          <w:szCs w:val="20"/>
          <w:rtl/>
        </w:rPr>
        <w:t>טז</w:t>
      </w:r>
      <w:proofErr w:type="spellEnd"/>
      <w:r w:rsidRPr="0087202D">
        <w:rPr>
          <w:rFonts w:cs="David" w:hint="cs"/>
          <w:sz w:val="20"/>
          <w:szCs w:val="20"/>
          <w:rtl/>
        </w:rPr>
        <w:t xml:space="preserve">) </w:t>
      </w:r>
      <w:proofErr w:type="spellStart"/>
      <w:r w:rsidRPr="0087202D">
        <w:rPr>
          <w:rFonts w:cs="David" w:hint="cs"/>
          <w:sz w:val="20"/>
          <w:szCs w:val="20"/>
          <w:rtl/>
        </w:rPr>
        <w:t>והשו"ע</w:t>
      </w:r>
      <w:proofErr w:type="spellEnd"/>
      <w:r w:rsidRPr="0087202D">
        <w:rPr>
          <w:rFonts w:cs="David" w:hint="cs"/>
          <w:sz w:val="20"/>
          <w:szCs w:val="20"/>
          <w:rtl/>
        </w:rPr>
        <w:t xml:space="preserve"> (יו"ד סי' רצד סע' </w:t>
      </w:r>
      <w:proofErr w:type="spellStart"/>
      <w:r w:rsidRPr="0087202D">
        <w:rPr>
          <w:rFonts w:cs="David" w:hint="cs"/>
          <w:sz w:val="20"/>
          <w:szCs w:val="20"/>
          <w:rtl/>
        </w:rPr>
        <w:t>כב</w:t>
      </w:r>
      <w:proofErr w:type="spellEnd"/>
      <w:r w:rsidRPr="0087202D">
        <w:rPr>
          <w:rFonts w:cs="David" w:hint="cs"/>
          <w:sz w:val="20"/>
          <w:szCs w:val="20"/>
          <w:rtl/>
        </w:rPr>
        <w:t xml:space="preserve">), ומבואר שכל מה שבטלה הילדה בזקנה הוא לעניין פירות שיגדלו לאחר מכן, אך פירות שכבר היו קיימים על ענף הילדה בשעת ההרכבה נשארים באיסורם, וממשיכים להיחשב לפירות עורלה, ואין ההרכבה מועילה להחשיבם כפירות של האילן הזקן. כן כתב במפורש בחילוק הדברים ה"בית יוסף" (על דברי הטור שם) ועיין ב"מנחת חינוך" (מצוה רמו אות ט), שהעיר על כך שהרמב"ם פסק במפורש רק את האיסור ולא את ההיתר, אך מסיק שמכלל לאו – כלומר האיסור בפירות הקיימים, אתה מסיק הן – כלומר ההיתר בפירות שיגדלו לאחר מכן. אם כן, אף אם נשווה את השתלת רקמת האשך לדין ילדה שסיבכה בזקנה, הרי תאי הזרע כבר קיימים ברקמה בשעת ההשתלה, וממילא הבעלות עליהם אינה עוברת בזמן ההשתלה. גם אם הייתה אפשרות שהנתרם ייצר תאי זרע חדשים, אי אפשר לדעת באיזה תא ישתמשו להפריה. אמנם, אין בדחיה זו בכדי לדחות את דבריו של ה"אבן יקרה" משום שיש חילוק גדול בין תאי הזרע ולבין הביציות. לגבי הביצית,  כל עוד הביצית לא הבשילה וחרגה מהזקיק המתפתח – הרי אין זה נחשב כ"פרי קיים". (ואף </w:t>
      </w:r>
      <w:proofErr w:type="spellStart"/>
      <w:r w:rsidRPr="0087202D">
        <w:rPr>
          <w:rFonts w:cs="David" w:hint="cs"/>
          <w:sz w:val="20"/>
          <w:szCs w:val="20"/>
          <w:rtl/>
        </w:rPr>
        <w:t>שה"חזון</w:t>
      </w:r>
      <w:proofErr w:type="spellEnd"/>
      <w:r w:rsidRPr="0087202D">
        <w:rPr>
          <w:rFonts w:cs="David" w:hint="cs"/>
          <w:sz w:val="20"/>
          <w:szCs w:val="20"/>
          <w:rtl/>
        </w:rPr>
        <w:t xml:space="preserve"> איש" (שביעית סי' ח </w:t>
      </w:r>
      <w:proofErr w:type="spellStart"/>
      <w:r w:rsidRPr="0087202D">
        <w:rPr>
          <w:rFonts w:cs="David" w:hint="cs"/>
          <w:sz w:val="20"/>
          <w:szCs w:val="20"/>
          <w:rtl/>
        </w:rPr>
        <w:t>ס"ק</w:t>
      </w:r>
      <w:proofErr w:type="spellEnd"/>
      <w:r w:rsidRPr="0087202D">
        <w:rPr>
          <w:rFonts w:cs="David" w:hint="cs"/>
          <w:sz w:val="20"/>
          <w:szCs w:val="20"/>
          <w:rtl/>
        </w:rPr>
        <w:t xml:space="preserve"> </w:t>
      </w:r>
      <w:proofErr w:type="spellStart"/>
      <w:r w:rsidRPr="0087202D">
        <w:rPr>
          <w:rFonts w:cs="David" w:hint="cs"/>
          <w:sz w:val="20"/>
          <w:szCs w:val="20"/>
          <w:rtl/>
        </w:rPr>
        <w:t>יג</w:t>
      </w:r>
      <w:proofErr w:type="spellEnd"/>
      <w:r w:rsidRPr="0087202D">
        <w:rPr>
          <w:rFonts w:cs="David" w:hint="cs"/>
          <w:sz w:val="20"/>
          <w:szCs w:val="20"/>
          <w:rtl/>
        </w:rPr>
        <w:t xml:space="preserve">) כתב שהפירות נשארים באיסורם אף אם היו בוסר בשעת ההרכבה, מ"מ אף הוא מסכים שאם הפירות עדיין לא הגיעו ל'שיעור פרי', הם בטלים בזקנה, בדיוק כמו הביצית שבתוך הזקיק. לעומת זאת, תא הזרע לא מתפתח מתוך רקמת האשך, אלא יוצא החוצה, וממילא יש לדמותו לפרי שהגיע ל'שיעור פרי', ואינו בטל בזקנה. </w:t>
      </w:r>
    </w:p>
    <w:p w14:paraId="69D6360B" w14:textId="77777777" w:rsidR="00953DE9" w:rsidRPr="0087202D" w:rsidRDefault="00953DE9" w:rsidP="00953DE9">
      <w:pPr>
        <w:ind w:left="357"/>
        <w:rPr>
          <w:rFonts w:cs="David"/>
          <w:sz w:val="20"/>
          <w:szCs w:val="20"/>
          <w:rtl/>
        </w:rPr>
      </w:pPr>
      <w:r w:rsidRPr="0087202D">
        <w:rPr>
          <w:rFonts w:cs="David" w:hint="cs"/>
          <w:sz w:val="20"/>
          <w:szCs w:val="20"/>
          <w:rtl/>
        </w:rPr>
        <w:t xml:space="preserve">אף על עצם השוואתו של בעל ה'אבן יקרה', קמו עוררין. </w:t>
      </w:r>
      <w:proofErr w:type="spellStart"/>
      <w:r w:rsidRPr="0087202D">
        <w:rPr>
          <w:rFonts w:cs="David" w:hint="cs"/>
          <w:sz w:val="20"/>
          <w:szCs w:val="20"/>
          <w:rtl/>
        </w:rPr>
        <w:t>הגרש"ז</w:t>
      </w:r>
      <w:proofErr w:type="spellEnd"/>
      <w:r w:rsidRPr="0087202D">
        <w:rPr>
          <w:rFonts w:cs="David" w:hint="cs"/>
          <w:sz w:val="20"/>
          <w:szCs w:val="20"/>
          <w:rtl/>
        </w:rPr>
        <w:t xml:space="preserve"> </w:t>
      </w:r>
      <w:proofErr w:type="spellStart"/>
      <w:r w:rsidRPr="0087202D">
        <w:rPr>
          <w:rFonts w:cs="David" w:hint="cs"/>
          <w:sz w:val="20"/>
          <w:szCs w:val="20"/>
          <w:rtl/>
        </w:rPr>
        <w:t>אויערבך</w:t>
      </w:r>
      <w:proofErr w:type="spellEnd"/>
      <w:r w:rsidRPr="0087202D">
        <w:rPr>
          <w:rFonts w:cs="David" w:hint="cs"/>
          <w:sz w:val="20"/>
          <w:szCs w:val="20"/>
          <w:rtl/>
        </w:rPr>
        <w:t xml:space="preserve"> (אנציקלופדיה הלכתית רפואית, ערך 'הפריה חוץ גופית הערה 151) העיר שאין להשוות צמח לבעל חיים שיש לו נשמה. יש שדחו מפאת שדין 'ילדה שסיבכה בזקנה' אמור רק בדיני ערלה ולא בדיני כלאים (הרב יעקב אריאל, "</w:t>
      </w:r>
      <w:proofErr w:type="spellStart"/>
      <w:r w:rsidRPr="0087202D">
        <w:rPr>
          <w:rFonts w:cs="David" w:hint="cs"/>
          <w:sz w:val="20"/>
          <w:szCs w:val="20"/>
          <w:rtl/>
        </w:rPr>
        <w:t>באהלה</w:t>
      </w:r>
      <w:proofErr w:type="spellEnd"/>
      <w:r w:rsidRPr="0087202D">
        <w:rPr>
          <w:rFonts w:cs="David" w:hint="cs"/>
          <w:sz w:val="20"/>
          <w:szCs w:val="20"/>
          <w:rtl/>
        </w:rPr>
        <w:t xml:space="preserve"> של תורה" א סי' ע) . שתי דחיות אלו שייכות גם בנדון דידן. הרב אריאל כתב לדחות את הראיה מערלה ל'אם פונדקאית', מטעם נוסף, ששם הילדה נשארת קבועה בגוף הזקנה, ואילו בפונדקאות הימצאות העובר בגוף הפונדקאית היא מלכתחילה זמנית שהרי הוולד אמור לצאת לאוויר העולם, לכן אין שייך שיתבטל בה העובר. יש לדון אם דחיה זו שייכת בנדון שאלתנו, משום שלא שייך לומר ש"טבע </w:t>
      </w:r>
      <w:proofErr w:type="spellStart"/>
      <w:r w:rsidRPr="0087202D">
        <w:rPr>
          <w:rFonts w:cs="David" w:hint="cs"/>
          <w:sz w:val="20"/>
          <w:szCs w:val="20"/>
          <w:rtl/>
        </w:rPr>
        <w:t>הריקמה</w:t>
      </w:r>
      <w:proofErr w:type="spellEnd"/>
      <w:r w:rsidRPr="0087202D">
        <w:rPr>
          <w:rFonts w:cs="David" w:hint="cs"/>
          <w:sz w:val="20"/>
          <w:szCs w:val="20"/>
          <w:rtl/>
        </w:rPr>
        <w:t xml:space="preserve"> לצאת", ואף לא שייך לומר ש'טבע הזרע לצאת', בפרט שרוב תאי הזרע נשארים </w:t>
      </w:r>
      <w:proofErr w:type="spellStart"/>
      <w:r w:rsidRPr="0087202D">
        <w:rPr>
          <w:rFonts w:cs="David" w:hint="cs"/>
          <w:sz w:val="20"/>
          <w:szCs w:val="20"/>
          <w:rtl/>
        </w:rPr>
        <w:t>בריקמה</w:t>
      </w:r>
      <w:proofErr w:type="spellEnd"/>
      <w:r w:rsidRPr="0087202D">
        <w:rPr>
          <w:rFonts w:cs="David" w:hint="cs"/>
          <w:sz w:val="20"/>
          <w:szCs w:val="20"/>
          <w:rtl/>
        </w:rPr>
        <w:t xml:space="preserve"> בסופו של דבר, ואף עצם ההוצאה היא מלאכותית ולא כדרך כל הארץ. שמא לפי דחיה זו אפשר לצדד </w:t>
      </w:r>
      <w:proofErr w:type="spellStart"/>
      <w:r w:rsidRPr="0087202D">
        <w:rPr>
          <w:rFonts w:cs="David" w:hint="cs"/>
          <w:sz w:val="20"/>
          <w:szCs w:val="20"/>
          <w:rtl/>
        </w:rPr>
        <w:t>שהריקמה</w:t>
      </w:r>
      <w:proofErr w:type="spellEnd"/>
      <w:r w:rsidRPr="0087202D">
        <w:rPr>
          <w:rFonts w:cs="David" w:hint="cs"/>
          <w:sz w:val="20"/>
          <w:szCs w:val="20"/>
          <w:rtl/>
        </w:rPr>
        <w:t xml:space="preserve"> ותאי הזרע שבה תתבטל בגוף המושתל. </w:t>
      </w:r>
    </w:p>
    <w:p w14:paraId="59E43FA0" w14:textId="77777777" w:rsidR="00953DE9" w:rsidRPr="0087202D" w:rsidRDefault="00953DE9" w:rsidP="0087202D">
      <w:pPr>
        <w:numPr>
          <w:ilvl w:val="0"/>
          <w:numId w:val="1"/>
        </w:numPr>
        <w:autoSpaceDE w:val="0"/>
        <w:autoSpaceDN w:val="0"/>
        <w:ind w:left="357" w:hanging="216"/>
        <w:rPr>
          <w:rFonts w:cs="David"/>
          <w:sz w:val="20"/>
          <w:szCs w:val="20"/>
        </w:rPr>
      </w:pPr>
      <w:r w:rsidRPr="0087202D">
        <w:rPr>
          <w:rFonts w:cs="David" w:hint="cs"/>
          <w:sz w:val="20"/>
          <w:szCs w:val="20"/>
          <w:rtl/>
        </w:rPr>
        <w:t xml:space="preserve">מו"ר </w:t>
      </w:r>
      <w:proofErr w:type="spellStart"/>
      <w:r w:rsidRPr="0087202D">
        <w:rPr>
          <w:rFonts w:cs="David" w:hint="cs"/>
          <w:sz w:val="20"/>
          <w:szCs w:val="20"/>
          <w:rtl/>
        </w:rPr>
        <w:t>הגרז"נ</w:t>
      </w:r>
      <w:proofErr w:type="spellEnd"/>
      <w:r w:rsidRPr="0087202D">
        <w:rPr>
          <w:rFonts w:cs="David" w:hint="cs"/>
          <w:sz w:val="20"/>
          <w:szCs w:val="20"/>
          <w:rtl/>
        </w:rPr>
        <w:t xml:space="preserve"> גולדברג (</w:t>
      </w:r>
      <w:proofErr w:type="spellStart"/>
      <w:r w:rsidRPr="0087202D">
        <w:rPr>
          <w:rFonts w:cs="David" w:hint="cs"/>
          <w:sz w:val="20"/>
          <w:szCs w:val="20"/>
          <w:rtl/>
        </w:rPr>
        <w:t>תחומין</w:t>
      </w:r>
      <w:proofErr w:type="spellEnd"/>
      <w:r w:rsidRPr="0087202D">
        <w:rPr>
          <w:rFonts w:cs="David" w:hint="cs"/>
          <w:sz w:val="20"/>
          <w:szCs w:val="20"/>
          <w:rtl/>
        </w:rPr>
        <w:t xml:space="preserve"> ה עמ' 248) הביא ראיות לכך שייחוס הוולד </w:t>
      </w:r>
      <w:proofErr w:type="spellStart"/>
      <w:r w:rsidRPr="0087202D">
        <w:rPr>
          <w:rFonts w:cs="David" w:hint="cs"/>
          <w:sz w:val="20"/>
          <w:szCs w:val="20"/>
          <w:rtl/>
        </w:rPr>
        <w:t>לאמו</w:t>
      </w:r>
      <w:proofErr w:type="spellEnd"/>
      <w:r w:rsidRPr="0087202D">
        <w:rPr>
          <w:rFonts w:cs="David" w:hint="cs"/>
          <w:sz w:val="20"/>
          <w:szCs w:val="20"/>
          <w:rtl/>
        </w:rPr>
        <w:t xml:space="preserve"> נקבע בלידה, ולכן יש לומר שהפונדקאית היולדת, היא נחשבת </w:t>
      </w:r>
      <w:proofErr w:type="spellStart"/>
      <w:r w:rsidRPr="0087202D">
        <w:rPr>
          <w:rFonts w:cs="David" w:hint="cs"/>
          <w:sz w:val="20"/>
          <w:szCs w:val="20"/>
          <w:rtl/>
        </w:rPr>
        <w:t>לאמו</w:t>
      </w:r>
      <w:proofErr w:type="spellEnd"/>
      <w:r w:rsidRPr="0087202D">
        <w:rPr>
          <w:rFonts w:cs="David" w:hint="cs"/>
          <w:sz w:val="20"/>
          <w:szCs w:val="20"/>
          <w:rtl/>
        </w:rPr>
        <w:t xml:space="preserve"> של הולד. מקור הדברים בסוגיית "הורתו שלא בקדושה ולידתו בקדושה" (כלומר, </w:t>
      </w:r>
      <w:proofErr w:type="spellStart"/>
      <w:r w:rsidRPr="0087202D">
        <w:rPr>
          <w:rFonts w:cs="David" w:hint="cs"/>
          <w:sz w:val="20"/>
          <w:szCs w:val="20"/>
          <w:rtl/>
        </w:rPr>
        <w:t>שאמו</w:t>
      </w:r>
      <w:proofErr w:type="spellEnd"/>
      <w:r w:rsidRPr="0087202D">
        <w:rPr>
          <w:rFonts w:cs="David" w:hint="cs"/>
          <w:sz w:val="20"/>
          <w:szCs w:val="20"/>
          <w:rtl/>
        </w:rPr>
        <w:t xml:space="preserve"> </w:t>
      </w:r>
      <w:proofErr w:type="spellStart"/>
      <w:r w:rsidRPr="0087202D">
        <w:rPr>
          <w:rFonts w:cs="David" w:hint="cs"/>
          <w:sz w:val="20"/>
          <w:szCs w:val="20"/>
          <w:rtl/>
        </w:rPr>
        <w:t>נתגיירה</w:t>
      </w:r>
      <w:proofErr w:type="spellEnd"/>
      <w:r w:rsidRPr="0087202D">
        <w:rPr>
          <w:rFonts w:cs="David" w:hint="cs"/>
          <w:sz w:val="20"/>
          <w:szCs w:val="20"/>
          <w:rtl/>
        </w:rPr>
        <w:t xml:space="preserve"> בין העיבור ללידה, יבמות </w:t>
      </w:r>
      <w:proofErr w:type="spellStart"/>
      <w:r w:rsidRPr="0087202D">
        <w:rPr>
          <w:rFonts w:cs="David" w:hint="cs"/>
          <w:sz w:val="20"/>
          <w:szCs w:val="20"/>
          <w:rtl/>
        </w:rPr>
        <w:t>צז</w:t>
      </w:r>
      <w:proofErr w:type="spellEnd"/>
      <w:r w:rsidRPr="0087202D">
        <w:rPr>
          <w:rFonts w:cs="David" w:hint="cs"/>
          <w:sz w:val="20"/>
          <w:szCs w:val="20"/>
          <w:rtl/>
        </w:rPr>
        <w:t xml:space="preserve"> ע"ב). שם משמע שבמקרה כזה הוולד מיוחס </w:t>
      </w:r>
      <w:proofErr w:type="spellStart"/>
      <w:r w:rsidRPr="0087202D">
        <w:rPr>
          <w:rFonts w:cs="David" w:hint="cs"/>
          <w:sz w:val="20"/>
          <w:szCs w:val="20"/>
          <w:rtl/>
        </w:rPr>
        <w:t>לאמו</w:t>
      </w:r>
      <w:proofErr w:type="spellEnd"/>
      <w:r w:rsidRPr="0087202D">
        <w:rPr>
          <w:rFonts w:cs="David" w:hint="cs"/>
          <w:sz w:val="20"/>
          <w:szCs w:val="20"/>
          <w:rtl/>
        </w:rPr>
        <w:t xml:space="preserve">, אך לא לאביו (שהיה גוי בשעת העיבור). אף מרן </w:t>
      </w:r>
      <w:proofErr w:type="spellStart"/>
      <w:r w:rsidRPr="0087202D">
        <w:rPr>
          <w:rFonts w:cs="David" w:hint="cs"/>
          <w:sz w:val="20"/>
          <w:szCs w:val="20"/>
          <w:rtl/>
        </w:rPr>
        <w:t>הגר"ש</w:t>
      </w:r>
      <w:proofErr w:type="spellEnd"/>
      <w:r w:rsidRPr="0087202D">
        <w:rPr>
          <w:rFonts w:cs="David" w:hint="cs"/>
          <w:sz w:val="20"/>
          <w:szCs w:val="20"/>
          <w:rtl/>
        </w:rPr>
        <w:t xml:space="preserve"> ישראלי ("חוות בנימין" ג סי' קח) הלך בדרך זו, והוא טען שייחוס הוולד </w:t>
      </w:r>
      <w:proofErr w:type="spellStart"/>
      <w:r w:rsidRPr="0087202D">
        <w:rPr>
          <w:rFonts w:cs="David" w:hint="cs"/>
          <w:sz w:val="20"/>
          <w:szCs w:val="20"/>
          <w:rtl/>
        </w:rPr>
        <w:t>לאמו</w:t>
      </w:r>
      <w:proofErr w:type="spellEnd"/>
      <w:r w:rsidRPr="0087202D">
        <w:rPr>
          <w:rFonts w:cs="David" w:hint="cs"/>
          <w:sz w:val="20"/>
          <w:szCs w:val="20"/>
          <w:rtl/>
        </w:rPr>
        <w:t xml:space="preserve"> נקבע בגיל 40 יום, שעד אז הוא </w:t>
      </w:r>
      <w:proofErr w:type="spellStart"/>
      <w:r w:rsidRPr="0087202D">
        <w:rPr>
          <w:rFonts w:cs="David" w:hint="cs"/>
          <w:sz w:val="20"/>
          <w:szCs w:val="20"/>
          <w:rtl/>
        </w:rPr>
        <w:t>כ"מיא</w:t>
      </w:r>
      <w:proofErr w:type="spellEnd"/>
      <w:r w:rsidRPr="0087202D">
        <w:rPr>
          <w:rFonts w:cs="David" w:hint="cs"/>
          <w:sz w:val="20"/>
          <w:szCs w:val="20"/>
          <w:rtl/>
        </w:rPr>
        <w:t xml:space="preserve"> בעלמא", וממילא הוולד </w:t>
      </w:r>
      <w:proofErr w:type="spellStart"/>
      <w:r w:rsidRPr="0087202D">
        <w:rPr>
          <w:rFonts w:cs="David" w:hint="cs"/>
          <w:sz w:val="20"/>
          <w:szCs w:val="20"/>
          <w:rtl/>
        </w:rPr>
        <w:t>מתיחס</w:t>
      </w:r>
      <w:proofErr w:type="spellEnd"/>
      <w:r w:rsidRPr="0087202D">
        <w:rPr>
          <w:rFonts w:cs="David" w:hint="cs"/>
          <w:sz w:val="20"/>
          <w:szCs w:val="20"/>
          <w:rtl/>
        </w:rPr>
        <w:t xml:space="preserve"> לאם שברחמה נמצא העובר. מראיתו של </w:t>
      </w:r>
      <w:proofErr w:type="spellStart"/>
      <w:r w:rsidRPr="0087202D">
        <w:rPr>
          <w:rFonts w:cs="David" w:hint="cs"/>
          <w:sz w:val="20"/>
          <w:szCs w:val="20"/>
          <w:rtl/>
        </w:rPr>
        <w:t>הגרז"נ</w:t>
      </w:r>
      <w:proofErr w:type="spellEnd"/>
      <w:r w:rsidRPr="0087202D">
        <w:rPr>
          <w:rFonts w:cs="David" w:hint="cs"/>
          <w:sz w:val="20"/>
          <w:szCs w:val="20"/>
          <w:rtl/>
        </w:rPr>
        <w:t xml:space="preserve"> לגבי האם, מבואר שלגבי האב, היחוס הולך אחרי רגע ההזרעה וכיון שבנדון דידן ההזרעה היא מגוף המושתל, יש ליחס את הולד אחרי המושתל ולא אחרי התורם, כיוון שהזרע נלקח להפריה בסופו של דבר מגופו.  יתירה מזו,  יש מקום לומר שהיות שבפונדקאות ובתרומת ביצית ההפריה מתרחשת מחוץ </w:t>
      </w:r>
      <w:r w:rsidRPr="0087202D">
        <w:rPr>
          <w:rFonts w:cs="David" w:hint="cs"/>
          <w:sz w:val="20"/>
          <w:szCs w:val="20"/>
          <w:rtl/>
        </w:rPr>
        <w:lastRenderedPageBreak/>
        <w:t xml:space="preserve">לגוף האדם, ומה שמוחזר הוא עובר קיים, לכן טרחו פוסקים אלו להביא ראיות שהייחוס לאם אינו נקבע ברגע ההפריה אלא רק לאחר מכן. בנדון דידן, שההפריה מתרחשת לאחר ההשתלה, פשוט הדבר עוד יותר שהוולד </w:t>
      </w:r>
      <w:proofErr w:type="spellStart"/>
      <w:r w:rsidRPr="0087202D">
        <w:rPr>
          <w:rFonts w:cs="David" w:hint="cs"/>
          <w:sz w:val="20"/>
          <w:szCs w:val="20"/>
          <w:rtl/>
        </w:rPr>
        <w:t>מתיחס</w:t>
      </w:r>
      <w:proofErr w:type="spellEnd"/>
      <w:r w:rsidRPr="0087202D">
        <w:rPr>
          <w:rFonts w:cs="David" w:hint="cs"/>
          <w:sz w:val="20"/>
          <w:szCs w:val="20"/>
          <w:rtl/>
        </w:rPr>
        <w:t xml:space="preserve"> למושתל. </w:t>
      </w:r>
    </w:p>
    <w:p w14:paraId="2469D217" w14:textId="77777777" w:rsidR="00953DE9" w:rsidRPr="0087202D" w:rsidRDefault="00953DE9" w:rsidP="0087202D">
      <w:pPr>
        <w:numPr>
          <w:ilvl w:val="0"/>
          <w:numId w:val="1"/>
        </w:numPr>
        <w:autoSpaceDE w:val="0"/>
        <w:autoSpaceDN w:val="0"/>
        <w:ind w:left="357" w:hanging="216"/>
        <w:rPr>
          <w:rFonts w:cs="David"/>
          <w:sz w:val="20"/>
          <w:szCs w:val="20"/>
        </w:rPr>
      </w:pPr>
      <w:r w:rsidRPr="0087202D">
        <w:rPr>
          <w:rFonts w:cs="David" w:hint="cs"/>
          <w:sz w:val="20"/>
          <w:szCs w:val="20"/>
          <w:rtl/>
        </w:rPr>
        <w:t xml:space="preserve">ה"חלקת מחוקק" (שו"ע </w:t>
      </w:r>
      <w:proofErr w:type="spellStart"/>
      <w:r w:rsidRPr="0087202D">
        <w:rPr>
          <w:rFonts w:cs="David" w:hint="cs"/>
          <w:sz w:val="20"/>
          <w:szCs w:val="20"/>
          <w:rtl/>
        </w:rPr>
        <w:t>אבה"ע</w:t>
      </w:r>
      <w:proofErr w:type="spellEnd"/>
      <w:r w:rsidRPr="0087202D">
        <w:rPr>
          <w:rFonts w:cs="David" w:hint="cs"/>
          <w:sz w:val="20"/>
          <w:szCs w:val="20"/>
          <w:rtl/>
        </w:rPr>
        <w:t xml:space="preserve"> סי' א </w:t>
      </w:r>
      <w:proofErr w:type="spellStart"/>
      <w:r w:rsidRPr="0087202D">
        <w:rPr>
          <w:rFonts w:cs="David" w:hint="cs"/>
          <w:sz w:val="20"/>
          <w:szCs w:val="20"/>
          <w:rtl/>
        </w:rPr>
        <w:t>ס"ק</w:t>
      </w:r>
      <w:proofErr w:type="spellEnd"/>
      <w:r w:rsidRPr="0087202D">
        <w:rPr>
          <w:rFonts w:cs="David" w:hint="cs"/>
          <w:sz w:val="20"/>
          <w:szCs w:val="20"/>
          <w:rtl/>
        </w:rPr>
        <w:t xml:space="preserve"> ח) הסתפק ב"אשה </w:t>
      </w:r>
      <w:proofErr w:type="spellStart"/>
      <w:r w:rsidRPr="0087202D">
        <w:rPr>
          <w:rFonts w:cs="David" w:hint="cs"/>
          <w:sz w:val="20"/>
          <w:szCs w:val="20"/>
          <w:rtl/>
        </w:rPr>
        <w:t>שנתעברה</w:t>
      </w:r>
      <w:proofErr w:type="spellEnd"/>
      <w:r w:rsidRPr="0087202D">
        <w:rPr>
          <w:rFonts w:cs="David" w:hint="cs"/>
          <w:sz w:val="20"/>
          <w:szCs w:val="20"/>
          <w:rtl/>
        </w:rPr>
        <w:t xml:space="preserve"> </w:t>
      </w:r>
      <w:proofErr w:type="spellStart"/>
      <w:r w:rsidRPr="0087202D">
        <w:rPr>
          <w:rFonts w:cs="David" w:hint="cs"/>
          <w:sz w:val="20"/>
          <w:szCs w:val="20"/>
          <w:rtl/>
        </w:rPr>
        <w:t>באמבטי</w:t>
      </w:r>
      <w:proofErr w:type="spellEnd"/>
      <w:r w:rsidRPr="0087202D">
        <w:rPr>
          <w:rFonts w:cs="David" w:hint="cs"/>
          <w:sz w:val="20"/>
          <w:szCs w:val="20"/>
          <w:rtl/>
        </w:rPr>
        <w:t xml:space="preserve">, אם קיים האב פריה ורביה ואם מקרי בנו לכל דבר". ה"בית שמואל" (שם </w:t>
      </w:r>
      <w:proofErr w:type="spellStart"/>
      <w:r w:rsidRPr="0087202D">
        <w:rPr>
          <w:rFonts w:cs="David" w:hint="cs"/>
          <w:sz w:val="20"/>
          <w:szCs w:val="20"/>
          <w:rtl/>
        </w:rPr>
        <w:t>ס"ק</w:t>
      </w:r>
      <w:proofErr w:type="spellEnd"/>
      <w:r w:rsidRPr="0087202D">
        <w:rPr>
          <w:rFonts w:cs="David" w:hint="cs"/>
          <w:sz w:val="20"/>
          <w:szCs w:val="20"/>
          <w:rtl/>
        </w:rPr>
        <w:t xml:space="preserve"> י) לעומתו הביא ראיה לכך שנחשב לבנו וקיים פרייה ורבייה. הספק תלוי בשאלה מה קובע את ייחוס הוולד לאביו – אם מעשה הביאה עצמו, או עצם העובדה שהוולד נוצר מזרע אביו, והוא בנו הגנטי. להלכה מסכימים רוב הפוסקים שהוולד מיוחס לאביו ולפי זה, בנדון דידן הוולד </w:t>
      </w:r>
      <w:proofErr w:type="spellStart"/>
      <w:r w:rsidRPr="0087202D">
        <w:rPr>
          <w:rFonts w:cs="David" w:hint="cs"/>
          <w:sz w:val="20"/>
          <w:szCs w:val="20"/>
          <w:rtl/>
        </w:rPr>
        <w:t>יתיחס</w:t>
      </w:r>
      <w:proofErr w:type="spellEnd"/>
      <w:r w:rsidRPr="0087202D">
        <w:rPr>
          <w:rFonts w:cs="David" w:hint="cs"/>
          <w:sz w:val="20"/>
          <w:szCs w:val="20"/>
          <w:rtl/>
        </w:rPr>
        <w:t xml:space="preserve"> לתורם </w:t>
      </w:r>
      <w:r w:rsidRPr="0087202D">
        <w:rPr>
          <w:rFonts w:cs="David"/>
          <w:sz w:val="20"/>
          <w:szCs w:val="20"/>
          <w:rtl/>
        </w:rPr>
        <w:t>–</w:t>
      </w:r>
      <w:r w:rsidRPr="0087202D">
        <w:rPr>
          <w:rFonts w:cs="David" w:hint="cs"/>
          <w:sz w:val="20"/>
          <w:szCs w:val="20"/>
          <w:rtl/>
        </w:rPr>
        <w:t xml:space="preserve"> בעל המטען הגנטי. יתרה מכך, אף על הצד שמעשה הביאה הוא הקובע את האבהות, בנדון דידן שההפריה נעשית שלא בדרך כל הארץ ואף לא בדרך של 'הזרקה', אלא באופן של 'הפריה חוץ גופית', הרי שאין שום צד לייחס את הוולד למושתל, שהרי אין כאן 'מעשה ביאה' כלל, בין המושתל ובין </w:t>
      </w:r>
      <w:proofErr w:type="spellStart"/>
      <w:r w:rsidRPr="0087202D">
        <w:rPr>
          <w:rFonts w:cs="David" w:hint="cs"/>
          <w:sz w:val="20"/>
          <w:szCs w:val="20"/>
          <w:rtl/>
        </w:rPr>
        <w:t>האשה</w:t>
      </w:r>
      <w:proofErr w:type="spellEnd"/>
      <w:r w:rsidRPr="0087202D">
        <w:rPr>
          <w:rFonts w:cs="David" w:hint="cs"/>
          <w:sz w:val="20"/>
          <w:szCs w:val="20"/>
          <w:rtl/>
        </w:rPr>
        <w:t>.  (עיין באריכות בשו"ת "ציץ אליעזר" טו, מה שם מביא את דברי הרמב"ם (מורה נבוכים א, עב): "אי אפשר שימצאו אברי אדם בפני עצמם והם אברי אדם באמת, רוצה לומר שיהיה הכבד בפני עצמו, או הלב בפני עצמו, או בשר בפני עצמו". נימוק זה מופיע גם בתשובתו (</w:t>
      </w:r>
      <w:proofErr w:type="spellStart"/>
      <w:r w:rsidRPr="0087202D">
        <w:rPr>
          <w:rFonts w:cs="David" w:hint="cs"/>
          <w:sz w:val="20"/>
          <w:szCs w:val="20"/>
          <w:rtl/>
        </w:rPr>
        <w:t>יט</w:t>
      </w:r>
      <w:proofErr w:type="spellEnd"/>
      <w:r w:rsidRPr="0087202D">
        <w:rPr>
          <w:rFonts w:cs="David" w:hint="cs"/>
          <w:sz w:val="20"/>
          <w:szCs w:val="20"/>
          <w:rtl/>
        </w:rPr>
        <w:t xml:space="preserve"> סי' מ) על ייחוס הוולד בפונדקאות, ובאמצעותו הוא מוסיף לבאר את דברי ה"אבן יקרה" שהובאו לעיל, מדוע לא ייתכן לייחס את הוולד לבעלת הביצית. </w:t>
      </w:r>
    </w:p>
    <w:p w14:paraId="3DC44C3A" w14:textId="77777777" w:rsidR="00953DE9" w:rsidRPr="0087202D" w:rsidRDefault="00953DE9" w:rsidP="00953DE9">
      <w:pPr>
        <w:ind w:left="141"/>
        <w:rPr>
          <w:rFonts w:cs="David"/>
          <w:sz w:val="20"/>
          <w:szCs w:val="20"/>
        </w:rPr>
      </w:pPr>
      <w:r w:rsidRPr="0087202D">
        <w:rPr>
          <w:rFonts w:cs="David" w:hint="cs"/>
          <w:sz w:val="20"/>
          <w:szCs w:val="20"/>
          <w:rtl/>
        </w:rPr>
        <w:t>מכל האמור לעיל עולה שמסתבר לומר בנדון דידן שהוולד ממשיך להתייחס לתורם הרקמה ולא למושתל, ואף אם יש מקום לדון בכך, מידי ספק לא יצאנו.</w:t>
      </w:r>
    </w:p>
    <w:p w14:paraId="2EAD2FD4" w14:textId="77777777" w:rsidR="00953DE9" w:rsidRPr="0087202D" w:rsidRDefault="00953DE9" w:rsidP="00953DE9">
      <w:pPr>
        <w:ind w:left="141" w:hanging="141"/>
        <w:rPr>
          <w:rFonts w:cs="David"/>
          <w:sz w:val="20"/>
          <w:szCs w:val="20"/>
          <w:rtl/>
        </w:rPr>
      </w:pPr>
      <w:r w:rsidRPr="0087202D">
        <w:rPr>
          <w:rFonts w:cs="David" w:hint="cs"/>
          <w:sz w:val="20"/>
          <w:szCs w:val="20"/>
          <w:vertAlign w:val="superscript"/>
          <w:rtl/>
        </w:rPr>
        <w:t>2</w:t>
      </w:r>
      <w:r w:rsidRPr="0087202D">
        <w:rPr>
          <w:rFonts w:cs="David"/>
          <w:sz w:val="20"/>
          <w:szCs w:val="20"/>
          <w:rtl/>
        </w:rPr>
        <w:t xml:space="preserve"> </w:t>
      </w:r>
      <w:r w:rsidRPr="0087202D">
        <w:rPr>
          <w:rFonts w:cs="David" w:hint="cs"/>
          <w:sz w:val="20"/>
          <w:szCs w:val="20"/>
          <w:rtl/>
        </w:rPr>
        <w:t xml:space="preserve"> מאחר שהגענו למסקנה שישנה סבירות גבוהה לכך שהוולד אינו מיוחס למושתל, אלא לתורם הרקמה, ממילא עלינו להתייחס לתאי הזרע שמוציאים לצורך ההפריה כאל תרומת זרע, או לפחות יש חשש גדול לכך. </w:t>
      </w:r>
    </w:p>
    <w:p w14:paraId="45109AED" w14:textId="77777777" w:rsidR="00953DE9" w:rsidRPr="0087202D" w:rsidRDefault="00953DE9" w:rsidP="00953DE9">
      <w:pPr>
        <w:ind w:left="141" w:hanging="141"/>
        <w:rPr>
          <w:rFonts w:cs="David"/>
          <w:sz w:val="20"/>
          <w:szCs w:val="20"/>
          <w:rtl/>
        </w:rPr>
      </w:pPr>
      <w:r w:rsidRPr="0087202D">
        <w:rPr>
          <w:rFonts w:cs="David" w:hint="cs"/>
          <w:sz w:val="20"/>
          <w:szCs w:val="20"/>
          <w:rtl/>
        </w:rPr>
        <w:t xml:space="preserve">  </w:t>
      </w:r>
      <w:r w:rsidRPr="0087202D">
        <w:rPr>
          <w:rFonts w:cs="David"/>
          <w:sz w:val="20"/>
          <w:szCs w:val="20"/>
          <w:rtl/>
        </w:rPr>
        <w:tab/>
      </w:r>
      <w:r w:rsidRPr="0087202D">
        <w:rPr>
          <w:rFonts w:cs="David" w:hint="cs"/>
          <w:sz w:val="20"/>
          <w:szCs w:val="20"/>
          <w:rtl/>
        </w:rPr>
        <w:t>והנה, בין גדולי הפוסקים שדנו בכתב בשאלת תרומת זרע זר לאשה שבעלה עקר (עיין בסיכום השיטות באנציקלופדיה הלכתית רפואית, "הזרעה מלאכותית" ב עמ' 566-571) מצאנו כמה שהסכימו להתיר את הדבר: שו"ת "אגרות משה" (</w:t>
      </w:r>
      <w:proofErr w:type="spellStart"/>
      <w:r w:rsidRPr="0087202D">
        <w:rPr>
          <w:rFonts w:cs="David" w:hint="cs"/>
          <w:sz w:val="20"/>
          <w:szCs w:val="20"/>
          <w:rtl/>
        </w:rPr>
        <w:t>אבה"ע</w:t>
      </w:r>
      <w:proofErr w:type="spellEnd"/>
      <w:r w:rsidRPr="0087202D">
        <w:rPr>
          <w:rFonts w:cs="David" w:hint="cs"/>
          <w:sz w:val="20"/>
          <w:szCs w:val="20"/>
          <w:rtl/>
        </w:rPr>
        <w:t xml:space="preserve"> א סי' </w:t>
      </w:r>
      <w:proofErr w:type="spellStart"/>
      <w:r w:rsidRPr="0087202D">
        <w:rPr>
          <w:rFonts w:cs="David" w:hint="cs"/>
          <w:sz w:val="20"/>
          <w:szCs w:val="20"/>
          <w:rtl/>
        </w:rPr>
        <w:t>עא</w:t>
      </w:r>
      <w:proofErr w:type="spellEnd"/>
      <w:r w:rsidRPr="0087202D">
        <w:rPr>
          <w:rFonts w:cs="David" w:hint="cs"/>
          <w:sz w:val="20"/>
          <w:szCs w:val="20"/>
          <w:rtl/>
        </w:rPr>
        <w:t xml:space="preserve">; ב סי' יא; ד סי' לב </w:t>
      </w:r>
      <w:proofErr w:type="spellStart"/>
      <w:r w:rsidRPr="0087202D">
        <w:rPr>
          <w:rFonts w:cs="David" w:hint="cs"/>
          <w:sz w:val="20"/>
          <w:szCs w:val="20"/>
          <w:rtl/>
        </w:rPr>
        <w:t>ס"ק</w:t>
      </w:r>
      <w:proofErr w:type="spellEnd"/>
      <w:r w:rsidRPr="0087202D">
        <w:rPr>
          <w:rFonts w:cs="David" w:hint="cs"/>
          <w:sz w:val="20"/>
          <w:szCs w:val="20"/>
          <w:rtl/>
        </w:rPr>
        <w:t xml:space="preserve"> ה) ושו"ת "מנחת שלמה" (ג סי' צח, </w:t>
      </w:r>
      <w:proofErr w:type="spellStart"/>
      <w:r w:rsidRPr="0087202D">
        <w:rPr>
          <w:rFonts w:cs="David" w:hint="cs"/>
          <w:sz w:val="20"/>
          <w:szCs w:val="20"/>
          <w:rtl/>
        </w:rPr>
        <w:t>במהדו"ת</w:t>
      </w:r>
      <w:proofErr w:type="spellEnd"/>
      <w:r w:rsidRPr="0087202D">
        <w:rPr>
          <w:rFonts w:cs="David" w:hint="cs"/>
          <w:sz w:val="20"/>
          <w:szCs w:val="20"/>
          <w:rtl/>
        </w:rPr>
        <w:t xml:space="preserve"> סי' </w:t>
      </w:r>
      <w:proofErr w:type="spellStart"/>
      <w:r w:rsidRPr="0087202D">
        <w:rPr>
          <w:rFonts w:cs="David" w:hint="cs"/>
          <w:sz w:val="20"/>
          <w:szCs w:val="20"/>
          <w:rtl/>
        </w:rPr>
        <w:t>קכד</w:t>
      </w:r>
      <w:proofErr w:type="spellEnd"/>
      <w:r w:rsidRPr="0087202D">
        <w:rPr>
          <w:rFonts w:cs="David" w:hint="cs"/>
          <w:sz w:val="20"/>
          <w:szCs w:val="20"/>
          <w:rtl/>
        </w:rPr>
        <w:t xml:space="preserve">). שניהם הסכימו להתיר אך ורק בתרומת זרע מגוי, ושניהם כתבו את ההיתר בצורה מסויגת. ה"אגרות משה" (ד שם) כתב: "הנה ממה שכתבתי </w:t>
      </w:r>
      <w:proofErr w:type="spellStart"/>
      <w:r w:rsidRPr="0087202D">
        <w:rPr>
          <w:rFonts w:cs="David" w:hint="cs"/>
          <w:sz w:val="20"/>
          <w:szCs w:val="20"/>
          <w:rtl/>
        </w:rPr>
        <w:t>בתשובותי</w:t>
      </w:r>
      <w:proofErr w:type="spellEnd"/>
      <w:r w:rsidRPr="0087202D">
        <w:rPr>
          <w:rFonts w:cs="David" w:hint="cs"/>
          <w:sz w:val="20"/>
          <w:szCs w:val="20"/>
          <w:rtl/>
        </w:rPr>
        <w:t xml:space="preserve">... כולם אמת וברור </w:t>
      </w:r>
      <w:proofErr w:type="spellStart"/>
      <w:r w:rsidRPr="0087202D">
        <w:rPr>
          <w:rFonts w:cs="David" w:hint="cs"/>
          <w:sz w:val="20"/>
          <w:szCs w:val="20"/>
          <w:rtl/>
        </w:rPr>
        <w:t>לדינא</w:t>
      </w:r>
      <w:proofErr w:type="spellEnd"/>
      <w:r w:rsidRPr="0087202D">
        <w:rPr>
          <w:rFonts w:cs="David" w:hint="cs"/>
          <w:sz w:val="20"/>
          <w:szCs w:val="20"/>
          <w:rtl/>
        </w:rPr>
        <w:t xml:space="preserve"> לא שייך להתחרט מהם, </w:t>
      </w:r>
      <w:proofErr w:type="spellStart"/>
      <w:r w:rsidRPr="0087202D">
        <w:rPr>
          <w:rFonts w:cs="David" w:hint="cs"/>
          <w:sz w:val="20"/>
          <w:szCs w:val="20"/>
          <w:rtl/>
        </w:rPr>
        <w:t>וליכא</w:t>
      </w:r>
      <w:proofErr w:type="spellEnd"/>
      <w:r w:rsidRPr="0087202D">
        <w:rPr>
          <w:rFonts w:cs="David" w:hint="cs"/>
          <w:sz w:val="20"/>
          <w:szCs w:val="20"/>
          <w:rtl/>
        </w:rPr>
        <w:t xml:space="preserve"> שום חששות בזריקת זרע של נוכרים, אבל למעשה לא הוריתי לעשות כן... ולכן אין זה עצה טובה... אבל ודאי אין </w:t>
      </w:r>
      <w:proofErr w:type="spellStart"/>
      <w:r w:rsidRPr="0087202D">
        <w:rPr>
          <w:rFonts w:cs="David" w:hint="cs"/>
          <w:sz w:val="20"/>
          <w:szCs w:val="20"/>
          <w:rtl/>
        </w:rPr>
        <w:t>ליעץ</w:t>
      </w:r>
      <w:proofErr w:type="spellEnd"/>
      <w:r w:rsidRPr="0087202D">
        <w:rPr>
          <w:rFonts w:cs="David" w:hint="cs"/>
          <w:sz w:val="20"/>
          <w:szCs w:val="20"/>
          <w:rtl/>
        </w:rPr>
        <w:t xml:space="preserve"> לעשות כן". </w:t>
      </w:r>
      <w:proofErr w:type="spellStart"/>
      <w:r w:rsidRPr="0087202D">
        <w:rPr>
          <w:rFonts w:cs="David" w:hint="cs"/>
          <w:sz w:val="20"/>
          <w:szCs w:val="20"/>
          <w:rtl/>
        </w:rPr>
        <w:t>וה"מנחת</w:t>
      </w:r>
      <w:proofErr w:type="spellEnd"/>
      <w:r w:rsidRPr="0087202D">
        <w:rPr>
          <w:rFonts w:cs="David" w:hint="cs"/>
          <w:sz w:val="20"/>
          <w:szCs w:val="20"/>
          <w:rtl/>
        </w:rPr>
        <w:t xml:space="preserve"> שלמה" כתב (שם אות ד): "ואף שאך למותר הוא להרבות דברים על הכיעור והזוהמה שבדבר זה" (הוא הסכים לדון בכך אך ורק משום שבשביל הנשים השואלות זו ממש שאלת הצלת חיים, ולכן כל עוד לא גזרו על כך איסור ברור </w:t>
      </w:r>
      <w:r w:rsidRPr="0087202D">
        <w:rPr>
          <w:rFonts w:cs="David" w:hint="eastAsia"/>
          <w:sz w:val="20"/>
          <w:szCs w:val="20"/>
          <w:rtl/>
        </w:rPr>
        <w:t xml:space="preserve">– </w:t>
      </w:r>
      <w:r w:rsidRPr="0087202D">
        <w:rPr>
          <w:rFonts w:cs="David" w:hint="cs"/>
          <w:sz w:val="20"/>
          <w:szCs w:val="20"/>
          <w:rtl/>
        </w:rPr>
        <w:t xml:space="preserve">צריך לברר הדין מצד ההלכה). גם דעת מרן </w:t>
      </w:r>
      <w:proofErr w:type="spellStart"/>
      <w:r w:rsidRPr="0087202D">
        <w:rPr>
          <w:rFonts w:cs="David" w:hint="cs"/>
          <w:sz w:val="20"/>
          <w:szCs w:val="20"/>
          <w:rtl/>
        </w:rPr>
        <w:t>הגר"ש</w:t>
      </w:r>
      <w:proofErr w:type="spellEnd"/>
      <w:r w:rsidRPr="0087202D">
        <w:rPr>
          <w:rFonts w:cs="David" w:hint="cs"/>
          <w:sz w:val="20"/>
          <w:szCs w:val="20"/>
          <w:rtl/>
        </w:rPr>
        <w:t xml:space="preserve"> ישראלי (הובאה בשו"ת "במראה הבזק" ג תשובה </w:t>
      </w:r>
      <w:proofErr w:type="spellStart"/>
      <w:r w:rsidRPr="0087202D">
        <w:rPr>
          <w:rFonts w:cs="David" w:hint="cs"/>
          <w:sz w:val="20"/>
          <w:szCs w:val="20"/>
          <w:rtl/>
        </w:rPr>
        <w:t>קכז</w:t>
      </w:r>
      <w:proofErr w:type="spellEnd"/>
      <w:r w:rsidRPr="0087202D">
        <w:rPr>
          <w:rFonts w:cs="David" w:hint="cs"/>
          <w:sz w:val="20"/>
          <w:szCs w:val="20"/>
          <w:rtl/>
        </w:rPr>
        <w:t>) הייתה להתיר תרומת זרע מגוי כאשר אין תקווה לרפואת הבעל.</w:t>
      </w:r>
    </w:p>
    <w:p w14:paraId="291457CE" w14:textId="77777777" w:rsidR="00953DE9" w:rsidRPr="0087202D" w:rsidRDefault="00953DE9" w:rsidP="00953DE9">
      <w:pPr>
        <w:ind w:left="141"/>
        <w:rPr>
          <w:rFonts w:cs="David"/>
          <w:sz w:val="20"/>
          <w:szCs w:val="20"/>
          <w:rtl/>
        </w:rPr>
      </w:pPr>
      <w:r w:rsidRPr="0087202D">
        <w:rPr>
          <w:rFonts w:cs="David" w:hint="cs"/>
          <w:sz w:val="20"/>
          <w:szCs w:val="20"/>
          <w:rtl/>
        </w:rPr>
        <w:t xml:space="preserve">לגבי הסיבה שבעטיה אסרו תרומת זרע מישראל ישנה מחלוקת ביניהם: ה"אגרות משה" סבר שיש לאסור מחשש שמא יישא אחותו מאביו, כיוון שלא ידעו מי האב, ולפי זה בנדון דידן, שבו ידועה זהות התורם, לא קיים החשש הזה. אך לדעת ה"מנחת שלמה" (שם אות א) יש כאן חשש ממזרות של ולד הנוצר מאשת איש ויהודי (לכן התיר רק בזרע גוי, שבו אין דין ממזרות), ואף שלא נוצר בדרך של ביאת איסור, שיטתו היא שיש לחשוש שאין הממזרות תלויה בביאת איסור אלא בכך שוולד נוצר משני גופים שאין תופסים בהם קידושין.  </w:t>
      </w:r>
    </w:p>
    <w:p w14:paraId="0C794E49" w14:textId="77777777" w:rsidR="00953DE9" w:rsidRPr="0087202D" w:rsidRDefault="00953DE9" w:rsidP="00953DE9">
      <w:pPr>
        <w:ind w:left="141" w:hanging="141"/>
        <w:rPr>
          <w:rFonts w:cs="David"/>
          <w:sz w:val="20"/>
          <w:szCs w:val="20"/>
        </w:rPr>
      </w:pPr>
      <w:r w:rsidRPr="0087202D">
        <w:rPr>
          <w:rFonts w:cs="David" w:hint="cs"/>
          <w:sz w:val="20"/>
          <w:szCs w:val="20"/>
          <w:vertAlign w:val="superscript"/>
          <w:rtl/>
        </w:rPr>
        <w:t>3</w:t>
      </w:r>
      <w:r w:rsidRPr="0087202D">
        <w:rPr>
          <w:rFonts w:cs="David"/>
          <w:sz w:val="20"/>
          <w:szCs w:val="20"/>
          <w:rtl/>
        </w:rPr>
        <w:t xml:space="preserve"> </w:t>
      </w:r>
      <w:r w:rsidRPr="0087202D">
        <w:rPr>
          <w:rFonts w:cs="David"/>
          <w:sz w:val="20"/>
          <w:szCs w:val="20"/>
          <w:rtl/>
        </w:rPr>
        <w:tab/>
      </w:r>
      <w:r w:rsidRPr="0087202D">
        <w:rPr>
          <w:rFonts w:cs="David" w:hint="cs"/>
          <w:sz w:val="20"/>
          <w:szCs w:val="20"/>
          <w:rtl/>
        </w:rPr>
        <w:t xml:space="preserve">כבר דנו פוסקי זמננו בשאלה אם יש איסור פצוע דכא בלקיחת דגימה מאשך לצורכי פוריות, ורובם מתירים; אם מצד שאין כאן נקב מפולש והמקום מתרפא ("מנחת יצחק" ג סי' קח), ואם מטעם שאיסור פצוע דכא קיים רק במקום שיגרום לכך שאינו ראוי להוליד ("אגרות משה" </w:t>
      </w:r>
      <w:proofErr w:type="spellStart"/>
      <w:r w:rsidRPr="0087202D">
        <w:rPr>
          <w:rFonts w:cs="David" w:hint="cs"/>
          <w:sz w:val="20"/>
          <w:szCs w:val="20"/>
          <w:rtl/>
        </w:rPr>
        <w:t>אבה"ע</w:t>
      </w:r>
      <w:proofErr w:type="spellEnd"/>
      <w:r w:rsidRPr="0087202D">
        <w:rPr>
          <w:rFonts w:cs="David" w:hint="cs"/>
          <w:sz w:val="20"/>
          <w:szCs w:val="20"/>
          <w:rtl/>
        </w:rPr>
        <w:t xml:space="preserve"> ב סי' ג ענף ב ו"שבט הלוי" ו סי' </w:t>
      </w:r>
      <w:proofErr w:type="spellStart"/>
      <w:r w:rsidRPr="0087202D">
        <w:rPr>
          <w:rFonts w:cs="David" w:hint="cs"/>
          <w:sz w:val="20"/>
          <w:szCs w:val="20"/>
          <w:rtl/>
        </w:rPr>
        <w:t>קצג</w:t>
      </w:r>
      <w:proofErr w:type="spellEnd"/>
      <w:r w:rsidRPr="0087202D">
        <w:rPr>
          <w:rFonts w:cs="David" w:hint="cs"/>
          <w:sz w:val="20"/>
          <w:szCs w:val="20"/>
          <w:rtl/>
        </w:rPr>
        <w:t xml:space="preserve">). ואף שההיתר שלהם אמור לצורכי פוריות של האדם עצמו, ולא לצורך אדם אחר – על כל פנים עולה מדבריהם שאין כאן בעיה של פצוע דכא. </w:t>
      </w:r>
    </w:p>
    <w:p w14:paraId="24BCEED5" w14:textId="77777777" w:rsidR="00953DE9" w:rsidRPr="0087202D" w:rsidRDefault="00953DE9" w:rsidP="00953DE9">
      <w:pPr>
        <w:ind w:left="141" w:hanging="141"/>
        <w:rPr>
          <w:rFonts w:cs="David"/>
          <w:sz w:val="20"/>
          <w:szCs w:val="20"/>
        </w:rPr>
      </w:pPr>
      <w:r w:rsidRPr="0087202D">
        <w:rPr>
          <w:rFonts w:cs="David" w:hint="cs"/>
          <w:sz w:val="20"/>
          <w:szCs w:val="20"/>
          <w:vertAlign w:val="superscript"/>
          <w:rtl/>
        </w:rPr>
        <w:t>4</w:t>
      </w:r>
      <w:r w:rsidRPr="0087202D">
        <w:rPr>
          <w:rFonts w:cs="David"/>
          <w:sz w:val="20"/>
          <w:szCs w:val="20"/>
          <w:rtl/>
        </w:rPr>
        <w:t xml:space="preserve"> </w:t>
      </w:r>
      <w:r w:rsidRPr="0087202D">
        <w:rPr>
          <w:rFonts w:cs="David"/>
          <w:sz w:val="20"/>
          <w:szCs w:val="20"/>
          <w:rtl/>
        </w:rPr>
        <w:tab/>
      </w:r>
      <w:r w:rsidRPr="0087202D">
        <w:rPr>
          <w:rFonts w:cs="David" w:hint="cs"/>
          <w:sz w:val="20"/>
          <w:szCs w:val="20"/>
          <w:rtl/>
        </w:rPr>
        <w:t xml:space="preserve">המשנה (בבא קמא צ ע"ב) אומרת שאין אדם רשאי לחבול בעצמו, ואף שהטור (חו"מ סי' </w:t>
      </w:r>
      <w:proofErr w:type="spellStart"/>
      <w:r w:rsidRPr="0087202D">
        <w:rPr>
          <w:rFonts w:cs="David" w:hint="cs"/>
          <w:sz w:val="20"/>
          <w:szCs w:val="20"/>
          <w:rtl/>
        </w:rPr>
        <w:t>תכ</w:t>
      </w:r>
      <w:proofErr w:type="spellEnd"/>
      <w:r w:rsidRPr="0087202D">
        <w:rPr>
          <w:rFonts w:cs="David" w:hint="cs"/>
          <w:sz w:val="20"/>
          <w:szCs w:val="20"/>
          <w:rtl/>
        </w:rPr>
        <w:t xml:space="preserve">) הביא את דברי </w:t>
      </w:r>
      <w:proofErr w:type="spellStart"/>
      <w:r w:rsidRPr="0087202D">
        <w:rPr>
          <w:rFonts w:cs="David" w:hint="cs"/>
          <w:sz w:val="20"/>
          <w:szCs w:val="20"/>
          <w:rtl/>
        </w:rPr>
        <w:t>הרמ"ה</w:t>
      </w:r>
      <w:proofErr w:type="spellEnd"/>
      <w:r w:rsidRPr="0087202D">
        <w:rPr>
          <w:rFonts w:cs="David" w:hint="cs"/>
          <w:sz w:val="20"/>
          <w:szCs w:val="20"/>
          <w:rtl/>
        </w:rPr>
        <w:t xml:space="preserve">, שאין הלכה כמשנה זו ואדם רשאי לחבול בעצמו, הרמב"ם (חובל ומזיק פרק ה הל' א) </w:t>
      </w:r>
      <w:proofErr w:type="spellStart"/>
      <w:r w:rsidRPr="0087202D">
        <w:rPr>
          <w:rFonts w:cs="David" w:hint="cs"/>
          <w:sz w:val="20"/>
          <w:szCs w:val="20"/>
          <w:rtl/>
        </w:rPr>
        <w:t>והשו"ע</w:t>
      </w:r>
      <w:proofErr w:type="spellEnd"/>
      <w:r w:rsidRPr="0087202D">
        <w:rPr>
          <w:rFonts w:cs="David" w:hint="cs"/>
          <w:sz w:val="20"/>
          <w:szCs w:val="20"/>
          <w:rtl/>
        </w:rPr>
        <w:t xml:space="preserve"> (חו"מ סי' </w:t>
      </w:r>
      <w:proofErr w:type="spellStart"/>
      <w:r w:rsidRPr="0087202D">
        <w:rPr>
          <w:rFonts w:cs="David" w:hint="cs"/>
          <w:sz w:val="20"/>
          <w:szCs w:val="20"/>
          <w:rtl/>
        </w:rPr>
        <w:t>תכ</w:t>
      </w:r>
      <w:proofErr w:type="spellEnd"/>
      <w:r w:rsidRPr="0087202D">
        <w:rPr>
          <w:rFonts w:cs="David" w:hint="cs"/>
          <w:sz w:val="20"/>
          <w:szCs w:val="20"/>
          <w:rtl/>
        </w:rPr>
        <w:t xml:space="preserve"> סע' לא) פסקו כסתם משנה, שאין אדם רשאי לחבול בעצמו. מהרמב"ם משמע שכל האיסור לחבול בעצמו הוא רק אם עושים זאת דרך ביזיון, מה שאין כן בנדון דידן, שמטרת הניתוח והחבלה היא עזרה לאחיו ולא דרך ביזיון. על סמך זה יש פוסקים ("אגרות משה" חו"מ ב סי' </w:t>
      </w:r>
      <w:proofErr w:type="spellStart"/>
      <w:r w:rsidRPr="0087202D">
        <w:rPr>
          <w:rFonts w:cs="David" w:hint="cs"/>
          <w:sz w:val="20"/>
          <w:szCs w:val="20"/>
          <w:rtl/>
        </w:rPr>
        <w:t>סו</w:t>
      </w:r>
      <w:proofErr w:type="spellEnd"/>
      <w:r w:rsidRPr="0087202D">
        <w:rPr>
          <w:rFonts w:cs="David" w:hint="cs"/>
          <w:sz w:val="20"/>
          <w:szCs w:val="20"/>
          <w:rtl/>
        </w:rPr>
        <w:t xml:space="preserve">, "יביע אומר" ח חו"מ סי' </w:t>
      </w:r>
      <w:proofErr w:type="spellStart"/>
      <w:r w:rsidRPr="0087202D">
        <w:rPr>
          <w:rFonts w:cs="David" w:hint="cs"/>
          <w:sz w:val="20"/>
          <w:szCs w:val="20"/>
          <w:rtl/>
        </w:rPr>
        <w:t>יב</w:t>
      </w:r>
      <w:proofErr w:type="spellEnd"/>
      <w:r w:rsidRPr="0087202D">
        <w:rPr>
          <w:rFonts w:cs="David" w:hint="cs"/>
          <w:sz w:val="20"/>
          <w:szCs w:val="20"/>
          <w:rtl/>
        </w:rPr>
        <w:t xml:space="preserve">, וכן צידד השואל בשו"ת "מנחת יצחק" ו סי' </w:t>
      </w:r>
      <w:proofErr w:type="spellStart"/>
      <w:r w:rsidRPr="0087202D">
        <w:rPr>
          <w:rFonts w:cs="David" w:hint="cs"/>
          <w:sz w:val="20"/>
          <w:szCs w:val="20"/>
          <w:rtl/>
        </w:rPr>
        <w:t>קה</w:t>
      </w:r>
      <w:proofErr w:type="spellEnd"/>
      <w:r w:rsidRPr="0087202D">
        <w:rPr>
          <w:rFonts w:cs="David" w:hint="cs"/>
          <w:sz w:val="20"/>
          <w:szCs w:val="20"/>
          <w:rtl/>
        </w:rPr>
        <w:t xml:space="preserve"> אות ב, </w:t>
      </w:r>
      <w:proofErr w:type="spellStart"/>
      <w:r w:rsidRPr="0087202D">
        <w:rPr>
          <w:rFonts w:cs="David" w:hint="cs"/>
          <w:sz w:val="20"/>
          <w:szCs w:val="20"/>
          <w:rtl/>
        </w:rPr>
        <w:t>וה"מנחת</w:t>
      </w:r>
      <w:proofErr w:type="spellEnd"/>
      <w:r w:rsidRPr="0087202D">
        <w:rPr>
          <w:rFonts w:cs="David" w:hint="cs"/>
          <w:sz w:val="20"/>
          <w:szCs w:val="20"/>
          <w:rtl/>
        </w:rPr>
        <w:t xml:space="preserve"> יצחק" לא דחה את דבריו) שהתירו עשיית ניתוח פלסטי לצורך ייפוי הגוף. אלא </w:t>
      </w:r>
      <w:proofErr w:type="spellStart"/>
      <w:r w:rsidRPr="0087202D">
        <w:rPr>
          <w:rFonts w:cs="David" w:hint="cs"/>
          <w:sz w:val="20"/>
          <w:szCs w:val="20"/>
          <w:rtl/>
        </w:rPr>
        <w:t>שב"יביע</w:t>
      </w:r>
      <w:proofErr w:type="spellEnd"/>
      <w:r w:rsidRPr="0087202D">
        <w:rPr>
          <w:rFonts w:cs="David" w:hint="cs"/>
          <w:sz w:val="20"/>
          <w:szCs w:val="20"/>
          <w:rtl/>
        </w:rPr>
        <w:t xml:space="preserve"> אומר" </w:t>
      </w:r>
      <w:proofErr w:type="spellStart"/>
      <w:r w:rsidRPr="0087202D">
        <w:rPr>
          <w:rFonts w:cs="David" w:hint="cs"/>
          <w:sz w:val="20"/>
          <w:szCs w:val="20"/>
          <w:rtl/>
        </w:rPr>
        <w:t>וב"מנחת</w:t>
      </w:r>
      <w:proofErr w:type="spellEnd"/>
      <w:r w:rsidRPr="0087202D">
        <w:rPr>
          <w:rFonts w:cs="David" w:hint="cs"/>
          <w:sz w:val="20"/>
          <w:szCs w:val="20"/>
          <w:rtl/>
        </w:rPr>
        <w:t xml:space="preserve"> יצחק" צירפו לכך את העובדה שמדובר בצורך גדול לאדם, מה שאין כן לפי המסקנה שהגענו אליה, שאין בדבר תועלת והדבר אסור מחשש ממזרות, וממילא ייתכן שכאן חוזר איסור חבלה. יש לקחת בחשבון שמדובר כאן לא בניתוח אחד בלבד, אלא בשלושה ניתוחים שונים – הוצאת רקמת האשך מהתורם, לאחר מכן </w:t>
      </w:r>
      <w:proofErr w:type="spellStart"/>
      <w:r w:rsidRPr="0087202D">
        <w:rPr>
          <w:rFonts w:cs="David" w:hint="cs"/>
          <w:sz w:val="20"/>
          <w:szCs w:val="20"/>
          <w:rtl/>
        </w:rPr>
        <w:t>השתלתה</w:t>
      </w:r>
      <w:proofErr w:type="spellEnd"/>
      <w:r w:rsidRPr="0087202D">
        <w:rPr>
          <w:rFonts w:cs="David" w:hint="cs"/>
          <w:sz w:val="20"/>
          <w:szCs w:val="20"/>
          <w:rtl/>
        </w:rPr>
        <w:t xml:space="preserve"> באחיו, ולאחר זמן הוצאת הרקמה חזרה מהמושתל לצורך ההפריה.</w:t>
      </w:r>
    </w:p>
    <w:p w14:paraId="7F233093" w14:textId="77777777" w:rsidR="00953DE9" w:rsidRPr="0087202D" w:rsidRDefault="00953DE9" w:rsidP="00953DE9">
      <w:pPr>
        <w:ind w:left="141" w:hanging="141"/>
        <w:rPr>
          <w:rFonts w:cs="David"/>
          <w:sz w:val="20"/>
          <w:szCs w:val="20"/>
          <w:rtl/>
        </w:rPr>
      </w:pPr>
      <w:r w:rsidRPr="0087202D">
        <w:rPr>
          <w:rFonts w:cs="David" w:hint="cs"/>
          <w:sz w:val="20"/>
          <w:szCs w:val="20"/>
          <w:vertAlign w:val="superscript"/>
          <w:rtl/>
        </w:rPr>
        <w:t>5</w:t>
      </w:r>
      <w:r w:rsidRPr="0087202D">
        <w:rPr>
          <w:rFonts w:cs="David"/>
          <w:sz w:val="20"/>
          <w:szCs w:val="20"/>
          <w:rtl/>
        </w:rPr>
        <w:t xml:space="preserve"> </w:t>
      </w:r>
      <w:r w:rsidRPr="0087202D">
        <w:rPr>
          <w:rFonts w:cs="David"/>
          <w:sz w:val="20"/>
          <w:szCs w:val="20"/>
          <w:rtl/>
        </w:rPr>
        <w:tab/>
      </w:r>
      <w:r w:rsidRPr="0087202D">
        <w:rPr>
          <w:rFonts w:cs="David" w:hint="cs"/>
          <w:sz w:val="20"/>
          <w:szCs w:val="20"/>
          <w:rtl/>
        </w:rPr>
        <w:t>הערת הרב פרופ' אברהם שטיינברג, מחבר "אנציקלופדיה רפואית הלכתית":</w:t>
      </w:r>
    </w:p>
    <w:p w14:paraId="040B7762" w14:textId="77777777" w:rsidR="00953DE9" w:rsidRPr="0087202D" w:rsidRDefault="00953DE9" w:rsidP="00953DE9">
      <w:pPr>
        <w:ind w:left="141"/>
        <w:rPr>
          <w:rFonts w:cs="David"/>
          <w:sz w:val="20"/>
          <w:szCs w:val="20"/>
          <w:rtl/>
        </w:rPr>
      </w:pPr>
      <w:r w:rsidRPr="0087202D">
        <w:rPr>
          <w:rFonts w:cs="David" w:hint="cs"/>
          <w:sz w:val="20"/>
          <w:szCs w:val="20"/>
          <w:rtl/>
        </w:rPr>
        <w:t xml:space="preserve">מצד אחד, נראה שיש לשואל בעיה פסיכולוגית בהסכמה לתרומת זרע זר (הדבר בא בחשבון מבחינת ההלכה רק אם תורם הזרע הוא גוי), ולכן הוא מחפש דרכים להקל על מצוקתו הנפשית בנדון. אם כך הוא המצב, לכאורה גם אם מצד גדרי ההלכה אין כל משמעות לפעולה המוצעת, אבל אם השתלת תאי הזרע תהיה מתורם גוי מתבטלת הבעיה של חשש ממזרות, ועניין החבלה </w:t>
      </w:r>
      <w:r w:rsidRPr="0087202D">
        <w:rPr>
          <w:rFonts w:cs="David"/>
          <w:sz w:val="20"/>
          <w:szCs w:val="20"/>
          <w:rtl/>
        </w:rPr>
        <w:t>–</w:t>
      </w:r>
      <w:r w:rsidRPr="0087202D">
        <w:rPr>
          <w:rFonts w:cs="David" w:hint="cs"/>
          <w:sz w:val="20"/>
          <w:szCs w:val="20"/>
          <w:rtl/>
        </w:rPr>
        <w:t xml:space="preserve"> בפרט כשמדובר בגוי </w:t>
      </w:r>
      <w:r w:rsidRPr="0087202D">
        <w:rPr>
          <w:rFonts w:cs="David"/>
          <w:sz w:val="20"/>
          <w:szCs w:val="20"/>
          <w:rtl/>
        </w:rPr>
        <w:t>–</w:t>
      </w:r>
      <w:r w:rsidRPr="0087202D">
        <w:rPr>
          <w:rFonts w:cs="David" w:hint="cs"/>
          <w:sz w:val="20"/>
          <w:szCs w:val="20"/>
          <w:rtl/>
        </w:rPr>
        <w:t xml:space="preserve"> יש מקום להקל בו, כי החבלה היא מזערית וללא סיכון, ואין היא נעשית בדרך ביזיון או בדרך </w:t>
      </w:r>
      <w:proofErr w:type="spellStart"/>
      <w:r w:rsidRPr="0087202D">
        <w:rPr>
          <w:rFonts w:cs="David" w:hint="cs"/>
          <w:sz w:val="20"/>
          <w:szCs w:val="20"/>
          <w:rtl/>
        </w:rPr>
        <w:t>ניציון</w:t>
      </w:r>
      <w:proofErr w:type="spellEnd"/>
      <w:r w:rsidRPr="0087202D">
        <w:rPr>
          <w:rFonts w:cs="David" w:hint="cs"/>
          <w:sz w:val="20"/>
          <w:szCs w:val="20"/>
          <w:rtl/>
        </w:rPr>
        <w:t xml:space="preserve"> (בהתאם לשתי הגרסאות ברמב"ם חובל פרק ה הל' א), ומידה כזו של חבלה היא אולי בבחינת דשו בה רבים, ואולי במשפטי הגויים אין זה נחשב כלל לחבלה. ואם כן לכאורה כדי לרצות את הצד הפסיכולוגי היה מ</w:t>
      </w:r>
      <w:r w:rsidRPr="0087202D">
        <w:rPr>
          <w:rFonts w:cs="David"/>
          <w:sz w:val="20"/>
          <w:szCs w:val="20"/>
          <w:rtl/>
        </w:rPr>
        <w:t>קום להתיר את הפעולה</w:t>
      </w:r>
      <w:r w:rsidRPr="0087202D">
        <w:rPr>
          <w:rFonts w:cs="David" w:hint="cs"/>
          <w:sz w:val="20"/>
          <w:szCs w:val="20"/>
          <w:rtl/>
        </w:rPr>
        <w:t>, שהרי משום טירוף הדעת התירו איסורי דרבנן, ולעתים אף איסורי דאורייתא, קל וחומר שאפשר להתיר פעולה שאין בה איסור</w:t>
      </w:r>
      <w:r w:rsidRPr="0087202D">
        <w:rPr>
          <w:rFonts w:cs="David"/>
          <w:sz w:val="20"/>
          <w:szCs w:val="20"/>
          <w:rtl/>
        </w:rPr>
        <w:t xml:space="preserve">. </w:t>
      </w:r>
      <w:r w:rsidRPr="0087202D">
        <w:rPr>
          <w:rFonts w:cs="David" w:hint="cs"/>
          <w:sz w:val="20"/>
          <w:szCs w:val="20"/>
          <w:rtl/>
        </w:rPr>
        <w:t xml:space="preserve">ואף שלא ברור שהבעיה הפסיכולוגית של השואל עולה כדי טירוף הדעת, אך אם אמנם אין איסור ברור בבקשתו, לכאורה היה מקום להתיר לו. </w:t>
      </w:r>
      <w:r w:rsidRPr="0087202D">
        <w:rPr>
          <w:rFonts w:cs="David"/>
          <w:sz w:val="20"/>
          <w:szCs w:val="20"/>
          <w:rtl/>
        </w:rPr>
        <w:t xml:space="preserve">אלא שמאידך </w:t>
      </w:r>
      <w:r w:rsidRPr="0087202D">
        <w:rPr>
          <w:rFonts w:cs="David" w:hint="cs"/>
          <w:sz w:val="20"/>
          <w:szCs w:val="20"/>
          <w:rtl/>
        </w:rPr>
        <w:t xml:space="preserve">גיסא </w:t>
      </w:r>
      <w:r w:rsidRPr="0087202D">
        <w:rPr>
          <w:rFonts w:cs="David"/>
          <w:sz w:val="20"/>
          <w:szCs w:val="20"/>
          <w:rtl/>
        </w:rPr>
        <w:t xml:space="preserve">נראה </w:t>
      </w:r>
      <w:r w:rsidRPr="0087202D">
        <w:rPr>
          <w:rFonts w:cs="David" w:hint="cs"/>
          <w:sz w:val="20"/>
          <w:szCs w:val="20"/>
          <w:rtl/>
        </w:rPr>
        <w:t xml:space="preserve">בבירור </w:t>
      </w:r>
      <w:r w:rsidRPr="0087202D">
        <w:rPr>
          <w:rFonts w:cs="David"/>
          <w:sz w:val="20"/>
          <w:szCs w:val="20"/>
          <w:rtl/>
        </w:rPr>
        <w:t xml:space="preserve">שהמצוקה הפסיכולוגית </w:t>
      </w:r>
      <w:r w:rsidRPr="0087202D">
        <w:rPr>
          <w:rFonts w:cs="David" w:hint="cs"/>
          <w:sz w:val="20"/>
          <w:szCs w:val="20"/>
          <w:rtl/>
        </w:rPr>
        <w:t xml:space="preserve">איננה חיצונית ובלתי תלויה, אלא היא </w:t>
      </w:r>
      <w:r w:rsidRPr="0087202D">
        <w:rPr>
          <w:rFonts w:cs="David"/>
          <w:sz w:val="20"/>
          <w:szCs w:val="20"/>
          <w:rtl/>
        </w:rPr>
        <w:t>באה בגלל השקפה הלכתית</w:t>
      </w:r>
      <w:r w:rsidRPr="0087202D">
        <w:rPr>
          <w:rFonts w:cs="David" w:hint="cs"/>
          <w:sz w:val="20"/>
          <w:szCs w:val="20"/>
          <w:rtl/>
        </w:rPr>
        <w:t>.</w:t>
      </w:r>
      <w:r w:rsidRPr="0087202D">
        <w:rPr>
          <w:rFonts w:cs="David"/>
          <w:sz w:val="20"/>
          <w:szCs w:val="20"/>
          <w:rtl/>
        </w:rPr>
        <w:t xml:space="preserve"> אך השקפה זו נובעת מחוסר הבנה</w:t>
      </w:r>
      <w:r w:rsidRPr="0087202D">
        <w:rPr>
          <w:rFonts w:cs="David" w:hint="cs"/>
          <w:sz w:val="20"/>
          <w:szCs w:val="20"/>
          <w:rtl/>
        </w:rPr>
        <w:t>;</w:t>
      </w:r>
      <w:r w:rsidRPr="0087202D">
        <w:rPr>
          <w:rFonts w:cs="David"/>
          <w:sz w:val="20"/>
          <w:szCs w:val="20"/>
          <w:rtl/>
        </w:rPr>
        <w:t xml:space="preserve"> </w:t>
      </w:r>
      <w:r w:rsidRPr="0087202D">
        <w:rPr>
          <w:rFonts w:cs="David" w:hint="cs"/>
          <w:sz w:val="20"/>
          <w:szCs w:val="20"/>
          <w:rtl/>
        </w:rPr>
        <w:t>שהרי</w:t>
      </w:r>
      <w:r w:rsidRPr="0087202D">
        <w:rPr>
          <w:rFonts w:cs="David"/>
          <w:sz w:val="20"/>
          <w:szCs w:val="20"/>
          <w:rtl/>
        </w:rPr>
        <w:t xml:space="preserve"> ממה נפשך, אם תרומת זרע אפילו מגוי אסורה לדעת השואל (כדעת חלק הפוסקים – ראה שו"ת </w:t>
      </w:r>
      <w:r w:rsidRPr="0087202D">
        <w:rPr>
          <w:rFonts w:cs="David" w:hint="cs"/>
          <w:sz w:val="20"/>
          <w:szCs w:val="20"/>
          <w:rtl/>
        </w:rPr>
        <w:t>"</w:t>
      </w:r>
      <w:r w:rsidRPr="0087202D">
        <w:rPr>
          <w:rFonts w:cs="David"/>
          <w:sz w:val="20"/>
          <w:szCs w:val="20"/>
          <w:rtl/>
        </w:rPr>
        <w:t>דברי יואל</w:t>
      </w:r>
      <w:r w:rsidRPr="0087202D">
        <w:rPr>
          <w:rFonts w:cs="David" w:hint="cs"/>
          <w:sz w:val="20"/>
          <w:szCs w:val="20"/>
          <w:rtl/>
        </w:rPr>
        <w:t>"</w:t>
      </w:r>
      <w:r w:rsidRPr="0087202D">
        <w:rPr>
          <w:rFonts w:cs="David"/>
          <w:sz w:val="20"/>
          <w:szCs w:val="20"/>
          <w:rtl/>
        </w:rPr>
        <w:t xml:space="preserve"> סי' </w:t>
      </w:r>
      <w:proofErr w:type="spellStart"/>
      <w:r w:rsidRPr="0087202D">
        <w:rPr>
          <w:rFonts w:cs="David"/>
          <w:sz w:val="20"/>
          <w:szCs w:val="20"/>
          <w:rtl/>
        </w:rPr>
        <w:t>קז</w:t>
      </w:r>
      <w:proofErr w:type="spellEnd"/>
      <w:r w:rsidRPr="0087202D">
        <w:rPr>
          <w:rFonts w:cs="David"/>
          <w:sz w:val="20"/>
          <w:szCs w:val="20"/>
          <w:rtl/>
        </w:rPr>
        <w:t xml:space="preserve">-קי; שו"ת </w:t>
      </w:r>
      <w:r w:rsidRPr="0087202D">
        <w:rPr>
          <w:rFonts w:cs="David" w:hint="cs"/>
          <w:sz w:val="20"/>
          <w:szCs w:val="20"/>
          <w:rtl/>
        </w:rPr>
        <w:t>"</w:t>
      </w:r>
      <w:r w:rsidRPr="0087202D">
        <w:rPr>
          <w:rFonts w:cs="David"/>
          <w:sz w:val="20"/>
          <w:szCs w:val="20"/>
          <w:rtl/>
        </w:rPr>
        <w:t>מנחת יצחק</w:t>
      </w:r>
      <w:r w:rsidRPr="0087202D">
        <w:rPr>
          <w:rFonts w:cs="David" w:hint="cs"/>
          <w:sz w:val="20"/>
          <w:szCs w:val="20"/>
          <w:rtl/>
        </w:rPr>
        <w:t>"</w:t>
      </w:r>
      <w:r w:rsidRPr="0087202D">
        <w:rPr>
          <w:rFonts w:cs="David"/>
          <w:sz w:val="20"/>
          <w:szCs w:val="20"/>
          <w:rtl/>
        </w:rPr>
        <w:t xml:space="preserve"> ד סי' ה; שו"ת </w:t>
      </w:r>
      <w:r w:rsidRPr="0087202D">
        <w:rPr>
          <w:rFonts w:cs="David" w:hint="cs"/>
          <w:sz w:val="20"/>
          <w:szCs w:val="20"/>
          <w:rtl/>
        </w:rPr>
        <w:t>"</w:t>
      </w:r>
      <w:r w:rsidRPr="0087202D">
        <w:rPr>
          <w:rFonts w:cs="David"/>
          <w:sz w:val="20"/>
          <w:szCs w:val="20"/>
          <w:rtl/>
        </w:rPr>
        <w:t>ציץ אליעזר</w:t>
      </w:r>
      <w:r w:rsidRPr="0087202D">
        <w:rPr>
          <w:rFonts w:cs="David" w:hint="cs"/>
          <w:sz w:val="20"/>
          <w:szCs w:val="20"/>
          <w:rtl/>
        </w:rPr>
        <w:t>"</w:t>
      </w:r>
      <w:r w:rsidRPr="0087202D">
        <w:rPr>
          <w:rFonts w:cs="David"/>
          <w:sz w:val="20"/>
          <w:szCs w:val="20"/>
          <w:rtl/>
        </w:rPr>
        <w:t xml:space="preserve"> ג סי' </w:t>
      </w:r>
      <w:proofErr w:type="spellStart"/>
      <w:r w:rsidRPr="0087202D">
        <w:rPr>
          <w:rFonts w:cs="David"/>
          <w:sz w:val="20"/>
          <w:szCs w:val="20"/>
          <w:rtl/>
        </w:rPr>
        <w:t>כז</w:t>
      </w:r>
      <w:proofErr w:type="spellEnd"/>
      <w:r w:rsidRPr="0087202D">
        <w:rPr>
          <w:rFonts w:cs="David"/>
          <w:sz w:val="20"/>
          <w:szCs w:val="20"/>
          <w:rtl/>
        </w:rPr>
        <w:t xml:space="preserve">, ושם ט סי' נא שער ד; שו"ת </w:t>
      </w:r>
      <w:r w:rsidRPr="0087202D">
        <w:rPr>
          <w:rFonts w:cs="David" w:hint="cs"/>
          <w:sz w:val="20"/>
          <w:szCs w:val="20"/>
          <w:rtl/>
        </w:rPr>
        <w:t>"</w:t>
      </w:r>
      <w:r w:rsidRPr="0087202D">
        <w:rPr>
          <w:rFonts w:cs="David"/>
          <w:sz w:val="20"/>
          <w:szCs w:val="20"/>
          <w:rtl/>
        </w:rPr>
        <w:t>שרידי אש</w:t>
      </w:r>
      <w:r w:rsidRPr="0087202D">
        <w:rPr>
          <w:rFonts w:cs="David" w:hint="cs"/>
          <w:sz w:val="20"/>
          <w:szCs w:val="20"/>
          <w:rtl/>
        </w:rPr>
        <w:t>"</w:t>
      </w:r>
      <w:r w:rsidRPr="0087202D">
        <w:rPr>
          <w:rFonts w:cs="David"/>
          <w:sz w:val="20"/>
          <w:szCs w:val="20"/>
          <w:rtl/>
        </w:rPr>
        <w:t xml:space="preserve"> ג סי' ה; שו"ת </w:t>
      </w:r>
      <w:r w:rsidRPr="0087202D">
        <w:rPr>
          <w:rFonts w:cs="David" w:hint="cs"/>
          <w:sz w:val="20"/>
          <w:szCs w:val="20"/>
          <w:rtl/>
        </w:rPr>
        <w:t>"</w:t>
      </w:r>
      <w:r w:rsidRPr="0087202D">
        <w:rPr>
          <w:rFonts w:cs="David"/>
          <w:sz w:val="20"/>
          <w:szCs w:val="20"/>
          <w:rtl/>
        </w:rPr>
        <w:t>שבט הלוי</w:t>
      </w:r>
      <w:r w:rsidRPr="0087202D">
        <w:rPr>
          <w:rFonts w:cs="David" w:hint="cs"/>
          <w:sz w:val="20"/>
          <w:szCs w:val="20"/>
          <w:rtl/>
        </w:rPr>
        <w:t>"</w:t>
      </w:r>
      <w:r w:rsidRPr="0087202D">
        <w:rPr>
          <w:rFonts w:cs="David"/>
          <w:sz w:val="20"/>
          <w:szCs w:val="20"/>
          <w:rtl/>
        </w:rPr>
        <w:t xml:space="preserve"> ג סי' </w:t>
      </w:r>
      <w:proofErr w:type="spellStart"/>
      <w:r w:rsidRPr="0087202D">
        <w:rPr>
          <w:rFonts w:cs="David"/>
          <w:sz w:val="20"/>
          <w:szCs w:val="20"/>
          <w:rtl/>
        </w:rPr>
        <w:t>קעה</w:t>
      </w:r>
      <w:proofErr w:type="spellEnd"/>
      <w:r w:rsidRPr="0087202D">
        <w:rPr>
          <w:rFonts w:cs="David"/>
          <w:sz w:val="20"/>
          <w:szCs w:val="20"/>
          <w:rtl/>
        </w:rPr>
        <w:t xml:space="preserve"> ועוד</w:t>
      </w:r>
      <w:r w:rsidRPr="0087202D">
        <w:rPr>
          <w:rFonts w:cs="David" w:hint="cs"/>
          <w:sz w:val="20"/>
          <w:szCs w:val="20"/>
          <w:rtl/>
        </w:rPr>
        <w:t>)</w:t>
      </w:r>
      <w:r w:rsidRPr="0087202D">
        <w:rPr>
          <w:rFonts w:cs="David"/>
          <w:sz w:val="20"/>
          <w:szCs w:val="20"/>
          <w:rtl/>
        </w:rPr>
        <w:t>, הרי שעצתו א</w:t>
      </w:r>
      <w:r w:rsidRPr="0087202D">
        <w:rPr>
          <w:rFonts w:cs="David" w:hint="cs"/>
          <w:sz w:val="20"/>
          <w:szCs w:val="20"/>
          <w:rtl/>
        </w:rPr>
        <w:t>ינה</w:t>
      </w:r>
      <w:r w:rsidRPr="0087202D">
        <w:rPr>
          <w:rFonts w:cs="David"/>
          <w:sz w:val="20"/>
          <w:szCs w:val="20"/>
          <w:rtl/>
        </w:rPr>
        <w:t xml:space="preserve"> מועילה כלל</w:t>
      </w:r>
      <w:r w:rsidRPr="0087202D">
        <w:rPr>
          <w:rFonts w:cs="David" w:hint="cs"/>
          <w:sz w:val="20"/>
          <w:szCs w:val="20"/>
          <w:rtl/>
        </w:rPr>
        <w:t>;</w:t>
      </w:r>
      <w:r w:rsidRPr="0087202D">
        <w:rPr>
          <w:rFonts w:cs="David"/>
          <w:sz w:val="20"/>
          <w:szCs w:val="20"/>
          <w:rtl/>
        </w:rPr>
        <w:t xml:space="preserve"> ואם הוא סובר שבשעת הדחק מותרת תרומת זרע מגוי</w:t>
      </w:r>
      <w:r w:rsidRPr="0087202D">
        <w:rPr>
          <w:rFonts w:cs="David" w:hint="cs"/>
          <w:sz w:val="20"/>
          <w:szCs w:val="20"/>
          <w:rtl/>
        </w:rPr>
        <w:t>,</w:t>
      </w:r>
      <w:r w:rsidRPr="0087202D">
        <w:rPr>
          <w:rFonts w:cs="David"/>
          <w:sz w:val="20"/>
          <w:szCs w:val="20"/>
          <w:rtl/>
        </w:rPr>
        <w:t xml:space="preserve"> כדעת חלק מהפוסקים </w:t>
      </w:r>
      <w:r w:rsidRPr="0087202D">
        <w:rPr>
          <w:rFonts w:cs="David" w:hint="cs"/>
          <w:sz w:val="20"/>
          <w:szCs w:val="20"/>
          <w:rtl/>
        </w:rPr>
        <w:t>(</w:t>
      </w:r>
      <w:r w:rsidRPr="0087202D">
        <w:rPr>
          <w:rFonts w:cs="David"/>
          <w:sz w:val="20"/>
          <w:szCs w:val="20"/>
          <w:rtl/>
        </w:rPr>
        <w:t xml:space="preserve">ראה </w:t>
      </w:r>
      <w:proofErr w:type="spellStart"/>
      <w:r w:rsidRPr="0087202D">
        <w:rPr>
          <w:rFonts w:cs="David"/>
          <w:sz w:val="20"/>
          <w:szCs w:val="20"/>
          <w:rtl/>
        </w:rPr>
        <w:t>הגרש"ז</w:t>
      </w:r>
      <w:proofErr w:type="spellEnd"/>
      <w:r w:rsidRPr="0087202D">
        <w:rPr>
          <w:rFonts w:cs="David"/>
          <w:sz w:val="20"/>
          <w:szCs w:val="20"/>
          <w:rtl/>
        </w:rPr>
        <w:t xml:space="preserve"> </w:t>
      </w:r>
      <w:proofErr w:type="spellStart"/>
      <w:r w:rsidRPr="0087202D">
        <w:rPr>
          <w:rFonts w:cs="David"/>
          <w:sz w:val="20"/>
          <w:szCs w:val="20"/>
          <w:rtl/>
        </w:rPr>
        <w:t>אויערבך</w:t>
      </w:r>
      <w:proofErr w:type="spellEnd"/>
      <w:r w:rsidRPr="0087202D">
        <w:rPr>
          <w:rFonts w:cs="David"/>
          <w:sz w:val="20"/>
          <w:szCs w:val="20"/>
          <w:rtl/>
        </w:rPr>
        <w:t xml:space="preserve"> </w:t>
      </w:r>
      <w:r w:rsidRPr="0087202D">
        <w:rPr>
          <w:rFonts w:cs="David" w:hint="cs"/>
          <w:sz w:val="20"/>
          <w:szCs w:val="20"/>
          <w:rtl/>
        </w:rPr>
        <w:t>"</w:t>
      </w:r>
      <w:r w:rsidRPr="0087202D">
        <w:rPr>
          <w:rFonts w:cs="David"/>
          <w:sz w:val="20"/>
          <w:szCs w:val="20"/>
          <w:rtl/>
        </w:rPr>
        <w:t>נועם</w:t>
      </w:r>
      <w:r w:rsidRPr="0087202D">
        <w:rPr>
          <w:rFonts w:cs="David" w:hint="cs"/>
          <w:sz w:val="20"/>
          <w:szCs w:val="20"/>
          <w:rtl/>
        </w:rPr>
        <w:t>"</w:t>
      </w:r>
      <w:r w:rsidRPr="0087202D">
        <w:rPr>
          <w:rFonts w:cs="David"/>
          <w:sz w:val="20"/>
          <w:szCs w:val="20"/>
          <w:rtl/>
        </w:rPr>
        <w:t xml:space="preserve"> א, תשי"ח, עמ' קמה-</w:t>
      </w:r>
      <w:proofErr w:type="spellStart"/>
      <w:r w:rsidRPr="0087202D">
        <w:rPr>
          <w:rFonts w:cs="David"/>
          <w:sz w:val="20"/>
          <w:szCs w:val="20"/>
          <w:rtl/>
        </w:rPr>
        <w:t>קסו</w:t>
      </w:r>
      <w:proofErr w:type="spellEnd"/>
      <w:r w:rsidRPr="0087202D">
        <w:rPr>
          <w:rFonts w:cs="David" w:hint="cs"/>
          <w:sz w:val="20"/>
          <w:szCs w:val="20"/>
          <w:rtl/>
        </w:rPr>
        <w:t xml:space="preserve"> ושו"ת "מנחת שלמה" ג סי' צח</w:t>
      </w:r>
      <w:r w:rsidRPr="0087202D">
        <w:rPr>
          <w:rFonts w:cs="David"/>
          <w:sz w:val="20"/>
          <w:szCs w:val="20"/>
          <w:rtl/>
        </w:rPr>
        <w:t xml:space="preserve">; </w:t>
      </w:r>
      <w:proofErr w:type="spellStart"/>
      <w:r w:rsidRPr="0087202D">
        <w:rPr>
          <w:rFonts w:cs="David"/>
          <w:sz w:val="20"/>
          <w:szCs w:val="20"/>
          <w:rtl/>
        </w:rPr>
        <w:t>הגר"ש</w:t>
      </w:r>
      <w:proofErr w:type="spellEnd"/>
      <w:r w:rsidRPr="0087202D">
        <w:rPr>
          <w:rFonts w:cs="David"/>
          <w:sz w:val="20"/>
          <w:szCs w:val="20"/>
          <w:rtl/>
        </w:rPr>
        <w:t xml:space="preserve"> ישראלי </w:t>
      </w:r>
      <w:r w:rsidRPr="0087202D">
        <w:rPr>
          <w:rFonts w:cs="David" w:hint="cs"/>
          <w:sz w:val="20"/>
          <w:szCs w:val="20"/>
          <w:rtl/>
        </w:rPr>
        <w:t xml:space="preserve">– </w:t>
      </w:r>
      <w:r w:rsidRPr="0087202D">
        <w:rPr>
          <w:rFonts w:cs="David"/>
          <w:sz w:val="20"/>
          <w:szCs w:val="20"/>
          <w:rtl/>
        </w:rPr>
        <w:t xml:space="preserve">הובאו דבריו בשו"ת </w:t>
      </w:r>
      <w:r w:rsidRPr="0087202D">
        <w:rPr>
          <w:rFonts w:cs="David" w:hint="cs"/>
          <w:sz w:val="20"/>
          <w:szCs w:val="20"/>
          <w:rtl/>
        </w:rPr>
        <w:t>"</w:t>
      </w:r>
      <w:r w:rsidRPr="0087202D">
        <w:rPr>
          <w:rFonts w:cs="David"/>
          <w:sz w:val="20"/>
          <w:szCs w:val="20"/>
          <w:rtl/>
        </w:rPr>
        <w:t>במראה הבזק</w:t>
      </w:r>
      <w:r w:rsidRPr="0087202D">
        <w:rPr>
          <w:rFonts w:cs="David" w:hint="cs"/>
          <w:sz w:val="20"/>
          <w:szCs w:val="20"/>
          <w:rtl/>
        </w:rPr>
        <w:t>"</w:t>
      </w:r>
      <w:r w:rsidRPr="0087202D">
        <w:rPr>
          <w:rFonts w:cs="David"/>
          <w:sz w:val="20"/>
          <w:szCs w:val="20"/>
          <w:rtl/>
        </w:rPr>
        <w:t xml:space="preserve"> ג סי' </w:t>
      </w:r>
      <w:proofErr w:type="spellStart"/>
      <w:r w:rsidRPr="0087202D">
        <w:rPr>
          <w:rFonts w:cs="David"/>
          <w:sz w:val="20"/>
          <w:szCs w:val="20"/>
          <w:rtl/>
        </w:rPr>
        <w:t>קכז</w:t>
      </w:r>
      <w:proofErr w:type="spellEnd"/>
      <w:r w:rsidRPr="0087202D">
        <w:rPr>
          <w:rFonts w:cs="David"/>
          <w:sz w:val="20"/>
          <w:szCs w:val="20"/>
          <w:rtl/>
        </w:rPr>
        <w:t xml:space="preserve">; שו"ת </w:t>
      </w:r>
      <w:r w:rsidRPr="0087202D">
        <w:rPr>
          <w:rFonts w:cs="David" w:hint="cs"/>
          <w:sz w:val="20"/>
          <w:szCs w:val="20"/>
          <w:rtl/>
        </w:rPr>
        <w:t>"</w:t>
      </w:r>
      <w:r w:rsidRPr="0087202D">
        <w:rPr>
          <w:rFonts w:cs="David"/>
          <w:sz w:val="20"/>
          <w:szCs w:val="20"/>
          <w:rtl/>
        </w:rPr>
        <w:t>אגרות משה</w:t>
      </w:r>
      <w:r w:rsidRPr="0087202D">
        <w:rPr>
          <w:rFonts w:cs="David" w:hint="cs"/>
          <w:sz w:val="20"/>
          <w:szCs w:val="20"/>
          <w:rtl/>
        </w:rPr>
        <w:t>"</w:t>
      </w:r>
      <w:r w:rsidRPr="0087202D">
        <w:rPr>
          <w:rFonts w:cs="David"/>
          <w:sz w:val="20"/>
          <w:szCs w:val="20"/>
          <w:rtl/>
        </w:rPr>
        <w:t xml:space="preserve"> </w:t>
      </w:r>
      <w:proofErr w:type="spellStart"/>
      <w:r w:rsidRPr="0087202D">
        <w:rPr>
          <w:rFonts w:cs="David"/>
          <w:sz w:val="20"/>
          <w:szCs w:val="20"/>
          <w:rtl/>
        </w:rPr>
        <w:t>אבה</w:t>
      </w:r>
      <w:r w:rsidRPr="0087202D">
        <w:rPr>
          <w:rFonts w:cs="David" w:hint="cs"/>
          <w:sz w:val="20"/>
          <w:szCs w:val="20"/>
          <w:rtl/>
        </w:rPr>
        <w:t>"</w:t>
      </w:r>
      <w:r w:rsidRPr="0087202D">
        <w:rPr>
          <w:rFonts w:cs="David"/>
          <w:sz w:val="20"/>
          <w:szCs w:val="20"/>
          <w:rtl/>
        </w:rPr>
        <w:t>ע</w:t>
      </w:r>
      <w:proofErr w:type="spellEnd"/>
      <w:r w:rsidRPr="0087202D">
        <w:rPr>
          <w:rFonts w:cs="David"/>
          <w:sz w:val="20"/>
          <w:szCs w:val="20"/>
          <w:rtl/>
        </w:rPr>
        <w:t xml:space="preserve"> א סי' </w:t>
      </w:r>
      <w:proofErr w:type="spellStart"/>
      <w:r w:rsidRPr="0087202D">
        <w:rPr>
          <w:rFonts w:cs="David"/>
          <w:sz w:val="20"/>
          <w:szCs w:val="20"/>
          <w:rtl/>
        </w:rPr>
        <w:t>עא</w:t>
      </w:r>
      <w:proofErr w:type="spellEnd"/>
      <w:r w:rsidRPr="0087202D">
        <w:rPr>
          <w:rFonts w:cs="David"/>
          <w:sz w:val="20"/>
          <w:szCs w:val="20"/>
          <w:rtl/>
        </w:rPr>
        <w:t xml:space="preserve">; שם, ב סי' יא וסי' </w:t>
      </w:r>
      <w:proofErr w:type="spellStart"/>
      <w:r w:rsidRPr="0087202D">
        <w:rPr>
          <w:rFonts w:cs="David"/>
          <w:sz w:val="20"/>
          <w:szCs w:val="20"/>
          <w:rtl/>
        </w:rPr>
        <w:t>יח</w:t>
      </w:r>
      <w:proofErr w:type="spellEnd"/>
      <w:r w:rsidRPr="0087202D">
        <w:rPr>
          <w:rFonts w:cs="David" w:hint="cs"/>
          <w:sz w:val="20"/>
          <w:szCs w:val="20"/>
          <w:rtl/>
        </w:rPr>
        <w:t xml:space="preserve">; שם </w:t>
      </w:r>
      <w:r w:rsidRPr="0087202D">
        <w:rPr>
          <w:rFonts w:cs="David"/>
          <w:sz w:val="20"/>
          <w:szCs w:val="20"/>
          <w:rtl/>
        </w:rPr>
        <w:t>ג סי' יד</w:t>
      </w:r>
      <w:r w:rsidRPr="0087202D">
        <w:rPr>
          <w:rFonts w:cs="David" w:hint="cs"/>
          <w:sz w:val="20"/>
          <w:szCs w:val="20"/>
          <w:rtl/>
        </w:rPr>
        <w:t>;</w:t>
      </w:r>
      <w:r w:rsidRPr="0087202D">
        <w:rPr>
          <w:rFonts w:cs="David"/>
          <w:sz w:val="20"/>
          <w:szCs w:val="20"/>
          <w:rtl/>
        </w:rPr>
        <w:t xml:space="preserve"> ו</w:t>
      </w:r>
      <w:r w:rsidRPr="0087202D">
        <w:rPr>
          <w:rFonts w:cs="David" w:hint="cs"/>
          <w:sz w:val="20"/>
          <w:szCs w:val="20"/>
          <w:rtl/>
        </w:rPr>
        <w:t>שם</w:t>
      </w:r>
      <w:r w:rsidRPr="0087202D">
        <w:rPr>
          <w:rFonts w:cs="David"/>
          <w:sz w:val="20"/>
          <w:szCs w:val="20"/>
          <w:rtl/>
        </w:rPr>
        <w:t xml:space="preserve"> ד סי' לב אות ה</w:t>
      </w:r>
      <w:r w:rsidRPr="0087202D">
        <w:rPr>
          <w:rFonts w:cs="David" w:hint="cs"/>
          <w:sz w:val="20"/>
          <w:szCs w:val="20"/>
          <w:rtl/>
        </w:rPr>
        <w:t>) אין כל צורך ב"תרגיל" המיותר המוצע על-ידו. ולכן יש להסביר לו את צדדי השאלה, ולא להזדקק לפתרון שאינו מעלה ואינו מוריד לכל צד של השאלה.</w:t>
      </w:r>
    </w:p>
    <w:p w14:paraId="46EFA75E" w14:textId="77777777" w:rsidR="00953DE9" w:rsidRPr="00786400" w:rsidRDefault="00953DE9" w:rsidP="00953DE9">
      <w:pPr>
        <w:ind w:left="141" w:hanging="141"/>
        <w:rPr>
          <w:rFonts w:cs="David"/>
          <w:sz w:val="12"/>
          <w:szCs w:val="12"/>
          <w:rtl/>
        </w:rPr>
      </w:pPr>
    </w:p>
    <w:p w14:paraId="6770538B" w14:textId="77777777" w:rsidR="00645892" w:rsidRPr="00D31B69" w:rsidRDefault="00645892" w:rsidP="00645892">
      <w:pPr>
        <w:contextualSpacing/>
        <w:rPr>
          <w:rFonts w:ascii="David" w:hAnsi="David" w:cs="David"/>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3542011" w:rsid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7D14304D" w14:textId="77777777" w:rsidR="001159E9" w:rsidRPr="001159E9" w:rsidRDefault="001159E9" w:rsidP="001159E9">
      <w:pPr>
        <w:jc w:val="both"/>
        <w:rPr>
          <w:rFonts w:cs="David"/>
          <w:u w:val="single"/>
          <w:rtl/>
          <w:lang w:eastAsia="he-IL"/>
        </w:rPr>
      </w:pPr>
      <w:r w:rsidRPr="001159E9">
        <w:rPr>
          <w:rFonts w:cs="David"/>
          <w:u w:val="single"/>
          <w:rtl/>
          <w:lang w:eastAsia="he-IL"/>
        </w:rPr>
        <w:t>חברי הועדה המייעצת:</w:t>
      </w:r>
    </w:p>
    <w:p w14:paraId="0A8DE93F" w14:textId="77777777" w:rsidR="001159E9" w:rsidRPr="001159E9" w:rsidRDefault="001159E9" w:rsidP="001159E9">
      <w:pPr>
        <w:jc w:val="both"/>
        <w:rPr>
          <w:rFonts w:cs="David"/>
          <w:sz w:val="23"/>
          <w:szCs w:val="23"/>
          <w:rtl/>
          <w:lang w:eastAsia="he-IL"/>
        </w:rPr>
      </w:pPr>
      <w:r w:rsidRPr="001159E9">
        <w:rPr>
          <w:rFonts w:cs="David"/>
          <w:sz w:val="23"/>
          <w:szCs w:val="23"/>
          <w:rtl/>
          <w:lang w:eastAsia="he-IL"/>
        </w:rPr>
        <w:t>הרב זלמן נחמיה גולדברג</w:t>
      </w:r>
    </w:p>
    <w:p w14:paraId="0139BF54" w14:textId="77777777" w:rsidR="001159E9" w:rsidRPr="001159E9" w:rsidRDefault="001159E9" w:rsidP="001159E9">
      <w:pPr>
        <w:jc w:val="both"/>
        <w:rPr>
          <w:rFonts w:cs="David"/>
          <w:sz w:val="23"/>
          <w:szCs w:val="23"/>
          <w:rtl/>
          <w:lang w:eastAsia="he-IL"/>
        </w:rPr>
      </w:pPr>
      <w:r w:rsidRPr="001159E9">
        <w:rPr>
          <w:rFonts w:cs="David"/>
          <w:sz w:val="23"/>
          <w:szCs w:val="23"/>
          <w:rtl/>
          <w:lang w:eastAsia="he-IL"/>
        </w:rPr>
        <w:t>הרב נחום אליעזר רבינוביץ</w:t>
      </w:r>
    </w:p>
    <w:p w14:paraId="1F6D97CA" w14:textId="77777777" w:rsidR="001159E9" w:rsidRPr="001159E9" w:rsidRDefault="001159E9" w:rsidP="001159E9">
      <w:pPr>
        <w:jc w:val="both"/>
        <w:rPr>
          <w:rFonts w:cs="David"/>
          <w:sz w:val="23"/>
          <w:szCs w:val="23"/>
          <w:rtl/>
          <w:lang w:eastAsia="he-IL"/>
        </w:rPr>
      </w:pPr>
      <w:r w:rsidRPr="001159E9">
        <w:rPr>
          <w:rFonts w:cs="David"/>
          <w:sz w:val="23"/>
          <w:szCs w:val="23"/>
          <w:rtl/>
          <w:lang w:eastAsia="he-IL"/>
        </w:rPr>
        <w:t>הרב ישראל רוזן</w:t>
      </w:r>
    </w:p>
    <w:p w14:paraId="61C44030" w14:textId="77777777" w:rsidR="002E4F14" w:rsidRDefault="009711C4" w:rsidP="002E4F14">
      <w:pPr>
        <w:contextualSpacing/>
        <w:jc w:val="center"/>
        <w:rPr>
          <w:rFonts w:cs="David"/>
          <w:b/>
          <w:bCs/>
          <w:color w:val="002060"/>
          <w:u w:val="single"/>
          <w:rtl/>
          <w:lang w:eastAsia="he-IL"/>
        </w:rPr>
      </w:pPr>
      <w:hyperlink r:id="rId19"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3ACA864"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0" w:history="1">
        <w:r w:rsidRPr="00DD6714">
          <w:rPr>
            <w:color w:val="0070C0"/>
          </w:rPr>
          <w:t>info@eretzhemdah.org</w:t>
        </w:r>
      </w:hyperlink>
    </w:p>
    <w:p w14:paraId="32F983DD" w14:textId="1ECCB594" w:rsidR="008336D8" w:rsidRDefault="00CC0EEB" w:rsidP="0087202D">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25BD6939">
            <wp:simplePos x="0" y="0"/>
            <wp:positionH relativeFrom="margin">
              <wp:posOffset>968375</wp:posOffset>
            </wp:positionH>
            <wp:positionV relativeFrom="paragraph">
              <wp:posOffset>238125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sectPr w:rsidR="008336D8" w:rsidSect="005D10D2">
      <w:headerReference w:type="default" r:id="rId22"/>
      <w:headerReference w:type="first" r:id="rId23"/>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52CD899" w:rsidR="003056AF" w:rsidRPr="00FA505B" w:rsidRDefault="009F45D9"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שמות</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64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9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4110</Words>
  <Characters>18805</Characters>
  <Application>Microsoft Office Word</Application>
  <DocSecurity>0</DocSecurity>
  <Lines>156</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13</cp:revision>
  <cp:lastPrinted>2024-12-26T08:18:00Z</cp:lastPrinted>
  <dcterms:created xsi:type="dcterms:W3CDTF">2025-01-15T13:19:00Z</dcterms:created>
  <dcterms:modified xsi:type="dcterms:W3CDTF">2025-01-16T09:09:00Z</dcterms:modified>
</cp:coreProperties>
</file>