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242C020D" w:rsidR="00E8510C" w:rsidRPr="00C60FEB" w:rsidRDefault="006F3104" w:rsidP="002D608A">
            <w:pPr>
              <w:pStyle w:val="1f2"/>
              <w:spacing w:after="0" w:line="240" w:lineRule="auto"/>
              <w:jc w:val="left"/>
              <w:rPr>
                <w:sz w:val="12"/>
                <w:szCs w:val="12"/>
                <w:rtl/>
              </w:rPr>
            </w:pPr>
            <w:r w:rsidRPr="00231876">
              <w:rPr>
                <w:rFonts w:hint="cs"/>
                <w:strike/>
                <w:noProof/>
                <w:sz w:val="48"/>
                <w:szCs w:val="48"/>
                <w:rtl/>
              </w:rPr>
              <w:drawing>
                <wp:anchor distT="0" distB="0" distL="114300" distR="114300" simplePos="0" relativeHeight="252017664" behindDoc="1" locked="0" layoutInCell="1" allowOverlap="1" wp14:anchorId="06E49634" wp14:editId="5BCE3FBA">
                  <wp:simplePos x="0" y="0"/>
                  <wp:positionH relativeFrom="column">
                    <wp:posOffset>2548890</wp:posOffset>
                  </wp:positionH>
                  <wp:positionV relativeFrom="paragraph">
                    <wp:posOffset>73660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tc>
        <w:tc>
          <w:tcPr>
            <w:tcW w:w="2835" w:type="dxa"/>
            <w:vMerge w:val="restart"/>
            <w:vAlign w:val="bottom"/>
            <w:hideMark/>
          </w:tcPr>
          <w:p w14:paraId="1E6DCFCC" w14:textId="71D6E310" w:rsidR="00E8510C" w:rsidRDefault="00D01158"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29FE8473" w:rsidR="00820DBE" w:rsidRPr="00820DBE" w:rsidRDefault="00820DBE" w:rsidP="002D608A">
            <w:pPr>
              <w:contextualSpacing/>
              <w:rPr>
                <w:rFonts w:ascii="Arial Black" w:hAnsi="Arial Black" w:cs="David"/>
                <w:b/>
                <w:bCs/>
                <w:iCs/>
                <w:color w:val="993300"/>
                <w:sz w:val="8"/>
                <w:szCs w:val="8"/>
                <w:rtl/>
              </w:rPr>
            </w:pPr>
          </w:p>
          <w:p w14:paraId="4B6E0FD0" w14:textId="3938EC3F" w:rsidR="00263195" w:rsidRPr="00D042C1" w:rsidRDefault="00263195" w:rsidP="002D608A">
            <w:pPr>
              <w:pStyle w:val="a6"/>
              <w:tabs>
                <w:tab w:val="clear" w:pos="4153"/>
              </w:tabs>
              <w:contextualSpacing/>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CD2201">
              <w:rPr>
                <w:rFonts w:ascii="Arial Black" w:hAnsi="Arial Black" w:cs="David" w:hint="cs"/>
                <w:b/>
                <w:bCs/>
                <w:iCs/>
                <w:color w:val="960000"/>
                <w:sz w:val="56"/>
                <w:szCs w:val="56"/>
                <w:rtl/>
              </w:rPr>
              <w:t>כי תצא</w:t>
            </w:r>
            <w:r w:rsidR="00C17DA7">
              <w:rPr>
                <w:rFonts w:ascii="Arial Black" w:hAnsi="Arial Black" w:cs="David" w:hint="cs"/>
                <w:b/>
                <w:bCs/>
                <w:iCs/>
                <w:color w:val="960000"/>
                <w:sz w:val="50"/>
                <w:szCs w:val="50"/>
                <w:rtl/>
              </w:rPr>
              <w:t xml:space="preserve"> </w:t>
            </w:r>
            <w:r w:rsidR="00FF53A0" w:rsidRPr="00FF53A0">
              <w:rPr>
                <w:rFonts w:ascii="Arial Black" w:hAnsi="Arial Black" w:cs="David" w:hint="cs"/>
                <w:b/>
                <w:bCs/>
                <w:iCs/>
                <w:color w:val="960000"/>
                <w:sz w:val="30"/>
                <w:szCs w:val="30"/>
                <w:rtl/>
              </w:rPr>
              <w:t xml:space="preserve"> </w:t>
            </w:r>
            <w:r w:rsidR="001E67B5" w:rsidRPr="00FF53A0">
              <w:rPr>
                <w:rFonts w:ascii="Arial Black" w:hAnsi="Arial Black" w:cs="David" w:hint="cs"/>
                <w:b/>
                <w:bCs/>
                <w:iCs/>
                <w:color w:val="960000"/>
                <w:sz w:val="30"/>
                <w:szCs w:val="30"/>
                <w:rtl/>
              </w:rPr>
              <w:t>תשפ"ה</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5"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65540DF1" w14:textId="77777777" w:rsidTr="00C60FEB">
        <w:trPr>
          <w:trHeight w:val="570"/>
        </w:trPr>
        <w:tc>
          <w:tcPr>
            <w:tcW w:w="8363" w:type="dxa"/>
            <w:vAlign w:val="center"/>
          </w:tcPr>
          <w:p w14:paraId="25A8633C" w14:textId="732C526F" w:rsidR="00FF53A0" w:rsidRPr="0067429B" w:rsidRDefault="00FF53A0" w:rsidP="002D608A">
            <w:pPr>
              <w:ind w:left="312" w:right="454"/>
              <w:contextualSpacing/>
              <w:jc w:val="center"/>
              <w:rPr>
                <w:rFonts w:ascii="David" w:hAnsi="David" w:cs="David"/>
                <w:strike/>
                <w:color w:val="0070C0"/>
                <w:sz w:val="10"/>
                <w:szCs w:val="10"/>
                <w:rtl/>
              </w:rPr>
            </w:pPr>
            <w:bookmarkStart w:id="1" w:name="_Hlk184807529"/>
          </w:p>
          <w:p w14:paraId="2BC263AE" w14:textId="77777777" w:rsidR="006F3104" w:rsidRPr="006F3104" w:rsidRDefault="006F3104" w:rsidP="006F3104">
            <w:pPr>
              <w:ind w:left="312" w:right="454"/>
              <w:contextualSpacing/>
              <w:jc w:val="center"/>
              <w:rPr>
                <w:rFonts w:ascii="FrankRuehl" w:hAnsi="FrankRuehl" w:cs="FrankRuehl"/>
                <w:b/>
                <w:bCs/>
                <w:color w:val="0070C0"/>
                <w:sz w:val="32"/>
                <w:szCs w:val="32"/>
                <w:rtl/>
              </w:rPr>
            </w:pPr>
            <w:r w:rsidRPr="006F3104">
              <w:rPr>
                <w:rFonts w:ascii="FrankRuehl" w:hAnsi="FrankRuehl" w:cs="FrankRuehl"/>
                <w:b/>
                <w:bCs/>
                <w:color w:val="0070C0"/>
                <w:sz w:val="32"/>
                <w:szCs w:val="32"/>
                <w:rtl/>
              </w:rPr>
              <w:t xml:space="preserve">לְבִלְתִּי רוּם לְבָבוֹ מֵאֶחָיו </w:t>
            </w:r>
            <w:r w:rsidRPr="006F3104">
              <w:rPr>
                <w:rFonts w:ascii="FrankRuehl" w:hAnsi="FrankRuehl" w:cs="FrankRuehl" w:hint="cs"/>
                <w:b/>
                <w:bCs/>
                <w:color w:val="0070C0"/>
                <w:sz w:val="32"/>
                <w:szCs w:val="32"/>
                <w:rtl/>
              </w:rPr>
              <w:t xml:space="preserve">- אל תגיד לא ידעתי! </w:t>
            </w:r>
          </w:p>
          <w:p w14:paraId="29361CBA" w14:textId="5799A3AB" w:rsidR="0047033E" w:rsidRPr="00C00359" w:rsidRDefault="00C00359" w:rsidP="00C00359">
            <w:pPr>
              <w:ind w:left="312" w:right="454"/>
              <w:contextualSpacing/>
              <w:jc w:val="center"/>
              <w:rPr>
                <w:rFonts w:ascii="FrankRuehl" w:hAnsi="FrankRuehl" w:cs="FrankRuehl"/>
                <w:b/>
                <w:bCs/>
                <w:color w:val="0070C0"/>
                <w:sz w:val="8"/>
                <w:szCs w:val="8"/>
                <w:rtl/>
              </w:rPr>
            </w:pPr>
            <w:r w:rsidRPr="00C00359">
              <w:rPr>
                <w:rFonts w:ascii="FrankRuehl" w:hAnsi="FrankRuehl" w:cs="FrankRuehl" w:hint="cs"/>
                <w:b/>
                <w:bCs/>
                <w:strike/>
                <w:color w:val="0070C0"/>
                <w:sz w:val="34"/>
                <w:szCs w:val="34"/>
                <w:rtl/>
              </w:rPr>
              <w:t xml:space="preserve"> </w:t>
            </w:r>
            <w:r w:rsidR="0047033E" w:rsidRPr="00C00359">
              <w:rPr>
                <w:rFonts w:ascii="FrankRuehl" w:hAnsi="FrankRuehl" w:cs="FrankRuehl" w:hint="cs"/>
                <w:b/>
                <w:bCs/>
                <w:color w:val="0070C0"/>
                <w:sz w:val="8"/>
                <w:szCs w:val="8"/>
                <w:rtl/>
              </w:rPr>
              <w:t>--------------------------------------------------------------------</w:t>
            </w:r>
            <w:r w:rsidR="006F3104">
              <w:rPr>
                <w:rFonts w:ascii="FrankRuehl" w:hAnsi="FrankRuehl" w:cs="FrankRuehl" w:hint="cs"/>
                <w:b/>
                <w:bCs/>
                <w:color w:val="0070C0"/>
                <w:sz w:val="8"/>
                <w:szCs w:val="8"/>
                <w:rtl/>
              </w:rPr>
              <w:t>---------------------</w:t>
            </w:r>
            <w:r w:rsidR="0047033E" w:rsidRPr="00C00359">
              <w:rPr>
                <w:rFonts w:ascii="FrankRuehl" w:hAnsi="FrankRuehl" w:cs="FrankRuehl" w:hint="cs"/>
                <w:b/>
                <w:bCs/>
                <w:color w:val="0070C0"/>
                <w:sz w:val="8"/>
                <w:szCs w:val="8"/>
                <w:rtl/>
              </w:rPr>
              <w:t>-----------------------</w:t>
            </w:r>
            <w:r w:rsidRPr="00C00359">
              <w:rPr>
                <w:rFonts w:ascii="FrankRuehl" w:hAnsi="FrankRuehl" w:cs="FrankRuehl" w:hint="cs"/>
                <w:b/>
                <w:bCs/>
                <w:color w:val="0070C0"/>
                <w:sz w:val="8"/>
                <w:szCs w:val="8"/>
                <w:rtl/>
              </w:rPr>
              <w:t>--------------------------------------------------</w:t>
            </w:r>
            <w:r w:rsidR="0047033E" w:rsidRPr="00C00359">
              <w:rPr>
                <w:rFonts w:ascii="FrankRuehl" w:hAnsi="FrankRuehl" w:cs="FrankRuehl" w:hint="cs"/>
                <w:b/>
                <w:bCs/>
                <w:color w:val="0070C0"/>
                <w:sz w:val="8"/>
                <w:szCs w:val="8"/>
                <w:rtl/>
              </w:rPr>
              <w:t>-----------</w:t>
            </w:r>
          </w:p>
          <w:p w14:paraId="3C30A566" w14:textId="10512972" w:rsidR="00313B91" w:rsidRPr="00D037B4" w:rsidRDefault="00E8510C" w:rsidP="002D608A">
            <w:pPr>
              <w:ind w:left="312" w:right="454"/>
              <w:contextualSpacing/>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2D608A">
            <w:pPr>
              <w:contextualSpacing/>
              <w:rPr>
                <w:rFonts w:ascii="Arial" w:hAnsi="Arial" w:cs="David"/>
                <w:sz w:val="2"/>
                <w:szCs w:val="2"/>
              </w:rPr>
            </w:pPr>
          </w:p>
        </w:tc>
      </w:tr>
      <w:tr w:rsidR="00E8510C" w14:paraId="330DFAA1" w14:textId="77777777" w:rsidTr="00EF7EBB">
        <w:trPr>
          <w:trHeight w:val="12106"/>
        </w:trPr>
        <w:tc>
          <w:tcPr>
            <w:tcW w:w="11198" w:type="dxa"/>
            <w:gridSpan w:val="2"/>
          </w:tcPr>
          <w:p w14:paraId="0D0AC0F6" w14:textId="77777777" w:rsidR="00C574A9" w:rsidRPr="00C574A9" w:rsidRDefault="00C574A9" w:rsidP="0047033E">
            <w:pPr>
              <w:contextualSpacing/>
              <w:rPr>
                <w:rFonts w:ascii="David" w:eastAsia="Calibri" w:hAnsi="David" w:cs="David"/>
                <w:sz w:val="12"/>
                <w:szCs w:val="12"/>
                <w:rtl/>
              </w:rPr>
            </w:pPr>
          </w:p>
          <w:p w14:paraId="6C0C23BF" w14:textId="77777777" w:rsidR="006F3104" w:rsidRPr="006F3104" w:rsidRDefault="006F3104" w:rsidP="0045372B">
            <w:pPr>
              <w:spacing w:line="276" w:lineRule="auto"/>
              <w:rPr>
                <w:rFonts w:ascii="David" w:hAnsi="David" w:cs="David"/>
                <w:sz w:val="20"/>
                <w:szCs w:val="20"/>
                <w:rtl/>
              </w:rPr>
            </w:pPr>
            <w:r w:rsidRPr="006F3104">
              <w:rPr>
                <w:rFonts w:ascii="David" w:hAnsi="David" w:cs="David"/>
                <w:rtl/>
              </w:rPr>
              <w:t xml:space="preserve">בפרשת המלך שקראנו לפני שבוע, מוזכרות שלש הדגשות: </w:t>
            </w:r>
            <w:r w:rsidRPr="006F3104">
              <w:rPr>
                <w:rFonts w:ascii="FrankRuehl" w:hAnsi="FrankRuehl" w:cs="FrankRuehl"/>
                <w:sz w:val="25"/>
                <w:szCs w:val="25"/>
                <w:rtl/>
              </w:rPr>
              <w:t xml:space="preserve">"כִּי </w:t>
            </w:r>
            <w:proofErr w:type="spellStart"/>
            <w:r w:rsidRPr="006F3104">
              <w:rPr>
                <w:rFonts w:ascii="FrankRuehl" w:hAnsi="FrankRuehl" w:cs="FrankRuehl"/>
                <w:sz w:val="25"/>
                <w:szCs w:val="25"/>
                <w:rtl/>
              </w:rPr>
              <w:t>תָבֹא</w:t>
            </w:r>
            <w:proofErr w:type="spellEnd"/>
            <w:r w:rsidRPr="006F3104">
              <w:rPr>
                <w:rFonts w:ascii="FrankRuehl" w:hAnsi="FrankRuehl" w:cs="FrankRuehl"/>
                <w:sz w:val="25"/>
                <w:szCs w:val="25"/>
                <w:rtl/>
              </w:rPr>
              <w:t xml:space="preserve"> אֶל הָאָרֶץ אֲשֶׁר ה' </w:t>
            </w:r>
            <w:proofErr w:type="spellStart"/>
            <w:r w:rsidRPr="006F3104">
              <w:rPr>
                <w:rFonts w:ascii="FrankRuehl" w:hAnsi="FrankRuehl" w:cs="FrankRuehl"/>
                <w:sz w:val="25"/>
                <w:szCs w:val="25"/>
                <w:rtl/>
              </w:rPr>
              <w:t>אֱלֹהֶיך</w:t>
            </w:r>
            <w:proofErr w:type="spellEnd"/>
            <w:r w:rsidRPr="006F3104">
              <w:rPr>
                <w:rFonts w:ascii="FrankRuehl" w:hAnsi="FrankRuehl" w:cs="FrankRuehl"/>
                <w:sz w:val="25"/>
                <w:szCs w:val="25"/>
                <w:rtl/>
              </w:rPr>
              <w:t xml:space="preserve">ָ נֹתֵן לָךְ וִירִשְׁתָּהּ וְיָשַׁבְתָּה בָּהּ וְאָמַרְתָּ </w:t>
            </w:r>
            <w:r w:rsidRPr="006F3104">
              <w:rPr>
                <w:rFonts w:ascii="FrankRuehl" w:hAnsi="FrankRuehl" w:cs="FrankRuehl"/>
                <w:b/>
                <w:bCs/>
                <w:sz w:val="25"/>
                <w:szCs w:val="25"/>
                <w:rtl/>
              </w:rPr>
              <w:t xml:space="preserve">אָשִׂימָה עָלַי מֶלֶךְ כְּכָל </w:t>
            </w:r>
            <w:proofErr w:type="spellStart"/>
            <w:r w:rsidRPr="006F3104">
              <w:rPr>
                <w:rFonts w:ascii="FrankRuehl" w:hAnsi="FrankRuehl" w:cs="FrankRuehl"/>
                <w:b/>
                <w:bCs/>
                <w:sz w:val="25"/>
                <w:szCs w:val="25"/>
                <w:rtl/>
              </w:rPr>
              <w:t>הַגּוֹיִם</w:t>
            </w:r>
            <w:proofErr w:type="spellEnd"/>
            <w:r w:rsidRPr="006F3104">
              <w:rPr>
                <w:rFonts w:ascii="FrankRuehl" w:hAnsi="FrankRuehl" w:cs="FrankRuehl"/>
                <w:b/>
                <w:bCs/>
                <w:sz w:val="25"/>
                <w:szCs w:val="25"/>
                <w:rtl/>
              </w:rPr>
              <w:t xml:space="preserve"> אֲשֶׁר סְבִיבֹתָי:</w:t>
            </w:r>
            <w:r w:rsidRPr="006F3104">
              <w:rPr>
                <w:rFonts w:ascii="FrankRuehl" w:hAnsi="FrankRuehl" w:cs="FrankRuehl"/>
                <w:sz w:val="25"/>
                <w:szCs w:val="25"/>
                <w:rtl/>
              </w:rPr>
              <w:t xml:space="preserve"> ... </w:t>
            </w:r>
            <w:r w:rsidRPr="006F3104">
              <w:rPr>
                <w:rFonts w:ascii="FrankRuehl" w:hAnsi="FrankRuehl" w:cs="FrankRuehl"/>
                <w:b/>
                <w:bCs/>
                <w:sz w:val="25"/>
                <w:szCs w:val="25"/>
                <w:rtl/>
              </w:rPr>
              <w:t>רַק לֹא יַרְבֶּה לּוֹ</w:t>
            </w:r>
            <w:r w:rsidRPr="006F3104">
              <w:rPr>
                <w:rFonts w:ascii="FrankRuehl" w:hAnsi="FrankRuehl" w:cs="FrankRuehl"/>
                <w:sz w:val="25"/>
                <w:szCs w:val="25"/>
                <w:rtl/>
              </w:rPr>
              <w:t xml:space="preserve"> ... וְלֹא יַרְבֶּה לּוֹ</w:t>
            </w:r>
            <w:r w:rsidRPr="006F3104">
              <w:rPr>
                <w:rFonts w:ascii="FrankRuehl" w:hAnsi="FrankRuehl" w:cs="FrankRuehl"/>
                <w:b/>
                <w:bCs/>
                <w:sz w:val="25"/>
                <w:szCs w:val="25"/>
                <w:rtl/>
              </w:rPr>
              <w:t xml:space="preserve"> נָשִׁים</w:t>
            </w:r>
            <w:r w:rsidRPr="006F3104">
              <w:rPr>
                <w:rFonts w:ascii="FrankRuehl" w:hAnsi="FrankRuehl" w:cs="FrankRuehl"/>
                <w:sz w:val="25"/>
                <w:szCs w:val="25"/>
                <w:rtl/>
              </w:rPr>
              <w:t xml:space="preserve"> ... </w:t>
            </w:r>
            <w:r w:rsidRPr="006F3104">
              <w:rPr>
                <w:rFonts w:ascii="FrankRuehl" w:hAnsi="FrankRuehl" w:cs="FrankRuehl"/>
                <w:b/>
                <w:bCs/>
                <w:sz w:val="25"/>
                <w:szCs w:val="25"/>
                <w:rtl/>
              </w:rPr>
              <w:t xml:space="preserve">לְבִלְתִּי רוּם לְבָבוֹ מֵאֶחָיו </w:t>
            </w:r>
            <w:r w:rsidRPr="006F3104">
              <w:rPr>
                <w:rFonts w:ascii="FrankRuehl" w:hAnsi="FrankRuehl" w:cs="FrankRuehl"/>
                <w:sz w:val="25"/>
                <w:szCs w:val="25"/>
                <w:rtl/>
              </w:rPr>
              <w:t xml:space="preserve">... לְמַעַן יַאֲרִיךְ יָמִים עַל מַמְלַכְתּוֹ הוּא וּבָנָיו בְּקֶרֶב יִשְׂרָאֵל" </w:t>
            </w:r>
            <w:r w:rsidRPr="006F3104">
              <w:rPr>
                <w:rFonts w:ascii="David" w:hAnsi="David" w:cs="David"/>
                <w:sz w:val="20"/>
                <w:szCs w:val="20"/>
                <w:rtl/>
              </w:rPr>
              <w:t xml:space="preserve">(פר' שופטים, דברים </w:t>
            </w:r>
            <w:proofErr w:type="spellStart"/>
            <w:r w:rsidRPr="006F3104">
              <w:rPr>
                <w:rFonts w:ascii="David" w:hAnsi="David" w:cs="David"/>
                <w:sz w:val="20"/>
                <w:szCs w:val="20"/>
                <w:rtl/>
              </w:rPr>
              <w:t>יז</w:t>
            </w:r>
            <w:proofErr w:type="spellEnd"/>
            <w:r w:rsidRPr="006F3104">
              <w:rPr>
                <w:rFonts w:ascii="David" w:hAnsi="David" w:cs="David"/>
                <w:sz w:val="20"/>
                <w:szCs w:val="20"/>
                <w:rtl/>
              </w:rPr>
              <w:t>, יד-כ).</w:t>
            </w:r>
          </w:p>
          <w:p w14:paraId="28C44D3A" w14:textId="77777777" w:rsidR="006F3104" w:rsidRPr="006F3104" w:rsidRDefault="006F3104" w:rsidP="0045372B">
            <w:pPr>
              <w:spacing w:line="276" w:lineRule="auto"/>
              <w:rPr>
                <w:rFonts w:ascii="David" w:hAnsi="David" w:cs="David"/>
                <w:rtl/>
              </w:rPr>
            </w:pPr>
            <w:r w:rsidRPr="006F3104">
              <w:rPr>
                <w:rFonts w:ascii="David" w:hAnsi="David" w:cs="David"/>
                <w:rtl/>
              </w:rPr>
              <w:t xml:space="preserve">גם פרשתנו פותחת באזהרות: </w:t>
            </w:r>
            <w:r w:rsidRPr="006F3104">
              <w:rPr>
                <w:rFonts w:ascii="FrankRuehl" w:hAnsi="FrankRuehl" w:cs="FrankRuehl"/>
                <w:sz w:val="25"/>
                <w:szCs w:val="25"/>
                <w:rtl/>
              </w:rPr>
              <w:t xml:space="preserve">"כִּי תֵצֵא לַמִּלְחָמָה עַל אֹיְבֶיךָ וּנְתָנוֹ ה' </w:t>
            </w:r>
            <w:proofErr w:type="spellStart"/>
            <w:r w:rsidRPr="006F3104">
              <w:rPr>
                <w:rFonts w:ascii="FrankRuehl" w:hAnsi="FrankRuehl" w:cs="FrankRuehl"/>
                <w:sz w:val="25"/>
                <w:szCs w:val="25"/>
                <w:rtl/>
              </w:rPr>
              <w:t>אֱלֹהֶיך</w:t>
            </w:r>
            <w:proofErr w:type="spellEnd"/>
            <w:r w:rsidRPr="006F3104">
              <w:rPr>
                <w:rFonts w:ascii="FrankRuehl" w:hAnsi="FrankRuehl" w:cs="FrankRuehl"/>
                <w:sz w:val="25"/>
                <w:szCs w:val="25"/>
                <w:rtl/>
              </w:rPr>
              <w:t xml:space="preserve">ָ בְּיָדֶךָ וְשָׁבִיתָ שִׁבְיוֹ: </w:t>
            </w:r>
            <w:r w:rsidRPr="006F3104">
              <w:rPr>
                <w:rFonts w:ascii="FrankRuehl" w:hAnsi="FrankRuehl" w:cs="FrankRuehl"/>
                <w:b/>
                <w:bCs/>
                <w:sz w:val="25"/>
                <w:szCs w:val="25"/>
                <w:rtl/>
              </w:rPr>
              <w:t>וְרָאִיתָ בַּשִּׁבְיָה אֵשֶׁת יְפַת תֹּאַר</w:t>
            </w:r>
            <w:r w:rsidRPr="006F3104">
              <w:rPr>
                <w:rFonts w:ascii="FrankRuehl" w:hAnsi="FrankRuehl" w:cs="FrankRuehl"/>
                <w:sz w:val="25"/>
                <w:szCs w:val="25"/>
                <w:rtl/>
              </w:rPr>
              <w:t xml:space="preserve"> ... </w:t>
            </w:r>
            <w:r w:rsidRPr="006F3104">
              <w:rPr>
                <w:rFonts w:ascii="FrankRuehl" w:hAnsi="FrankRuehl" w:cs="FrankRuehl"/>
                <w:b/>
                <w:bCs/>
                <w:sz w:val="25"/>
                <w:szCs w:val="25"/>
                <w:rtl/>
              </w:rPr>
              <w:t xml:space="preserve">כִּי </w:t>
            </w:r>
            <w:proofErr w:type="spellStart"/>
            <w:r w:rsidRPr="006F3104">
              <w:rPr>
                <w:rFonts w:ascii="FrankRuehl" w:hAnsi="FrankRuehl" w:cs="FrankRuehl"/>
                <w:b/>
                <w:bCs/>
                <w:sz w:val="25"/>
                <w:szCs w:val="25"/>
                <w:rtl/>
              </w:rPr>
              <w:t>תִהְיֶין</w:t>
            </w:r>
            <w:proofErr w:type="spellEnd"/>
            <w:r w:rsidRPr="006F3104">
              <w:rPr>
                <w:rFonts w:ascii="FrankRuehl" w:hAnsi="FrankRuehl" w:cs="FrankRuehl"/>
                <w:b/>
                <w:bCs/>
                <w:sz w:val="25"/>
                <w:szCs w:val="25"/>
                <w:rtl/>
              </w:rPr>
              <w:t>ָ לְאִישׁ שְׁתֵּי נָשִׁים</w:t>
            </w:r>
            <w:r w:rsidRPr="006F3104">
              <w:rPr>
                <w:rFonts w:ascii="FrankRuehl" w:hAnsi="FrankRuehl" w:cs="FrankRuehl"/>
                <w:sz w:val="25"/>
                <w:szCs w:val="25"/>
                <w:rtl/>
              </w:rPr>
              <w:t xml:space="preserve"> הָאַחַת אֲהוּבָה וְהָאַחַת שְׂנוּאָה ... </w:t>
            </w:r>
            <w:r w:rsidRPr="006F3104">
              <w:rPr>
                <w:rFonts w:ascii="FrankRuehl" w:hAnsi="FrankRuehl" w:cs="FrankRuehl"/>
                <w:b/>
                <w:bCs/>
                <w:sz w:val="25"/>
                <w:szCs w:val="25"/>
                <w:rtl/>
              </w:rPr>
              <w:t>כִּי יִהְיֶה לְאִישׁ בֵּן סוֹרֵר וּמוֹרֶה</w:t>
            </w:r>
            <w:r w:rsidRPr="006F3104">
              <w:rPr>
                <w:rFonts w:ascii="FrankRuehl" w:hAnsi="FrankRuehl" w:cs="FrankRuehl"/>
                <w:sz w:val="25"/>
                <w:szCs w:val="25"/>
                <w:rtl/>
              </w:rPr>
              <w:t xml:space="preserve"> ... </w:t>
            </w:r>
            <w:proofErr w:type="spellStart"/>
            <w:r w:rsidRPr="006F3104">
              <w:rPr>
                <w:rFonts w:ascii="FrankRuehl" w:hAnsi="FrankRuehl" w:cs="FrankRuehl"/>
                <w:sz w:val="25"/>
                <w:szCs w:val="25"/>
                <w:rtl/>
              </w:rPr>
              <w:t>וּרְגָמֻהו</w:t>
            </w:r>
            <w:proofErr w:type="spellEnd"/>
            <w:r w:rsidRPr="006F3104">
              <w:rPr>
                <w:rFonts w:ascii="FrankRuehl" w:hAnsi="FrankRuehl" w:cs="FrankRuehl"/>
                <w:sz w:val="25"/>
                <w:szCs w:val="25"/>
                <w:rtl/>
              </w:rPr>
              <w:t>ּ כָּל אַנְשֵׁי עִירוֹ בָאֲבָנִים וָמֵת"</w:t>
            </w:r>
            <w:r w:rsidRPr="006F3104">
              <w:rPr>
                <w:rFonts w:ascii="David" w:hAnsi="David" w:cs="David"/>
                <w:rtl/>
              </w:rPr>
              <w:t xml:space="preserve"> </w:t>
            </w:r>
            <w:r w:rsidRPr="006F3104">
              <w:rPr>
                <w:rFonts w:ascii="David" w:hAnsi="David" w:cs="David"/>
                <w:sz w:val="20"/>
                <w:szCs w:val="20"/>
                <w:rtl/>
              </w:rPr>
              <w:t xml:space="preserve">(דברים </w:t>
            </w:r>
            <w:proofErr w:type="spellStart"/>
            <w:r w:rsidRPr="006F3104">
              <w:rPr>
                <w:rFonts w:ascii="David" w:hAnsi="David" w:cs="David"/>
                <w:sz w:val="20"/>
                <w:szCs w:val="20"/>
                <w:rtl/>
              </w:rPr>
              <w:t>כא</w:t>
            </w:r>
            <w:proofErr w:type="spellEnd"/>
            <w:r w:rsidRPr="006F3104">
              <w:rPr>
                <w:rFonts w:ascii="David" w:hAnsi="David" w:cs="David"/>
                <w:sz w:val="20"/>
                <w:szCs w:val="20"/>
                <w:rtl/>
              </w:rPr>
              <w:t>, י-</w:t>
            </w:r>
            <w:proofErr w:type="spellStart"/>
            <w:r w:rsidRPr="006F3104">
              <w:rPr>
                <w:rFonts w:ascii="David" w:hAnsi="David" w:cs="David"/>
                <w:sz w:val="20"/>
                <w:szCs w:val="20"/>
                <w:rtl/>
              </w:rPr>
              <w:t>כא</w:t>
            </w:r>
            <w:proofErr w:type="spellEnd"/>
            <w:r w:rsidRPr="006F3104">
              <w:rPr>
                <w:rFonts w:ascii="David" w:hAnsi="David" w:cs="David"/>
                <w:sz w:val="20"/>
                <w:szCs w:val="20"/>
                <w:rtl/>
              </w:rPr>
              <w:t>).</w:t>
            </w:r>
          </w:p>
          <w:p w14:paraId="0DD360D9" w14:textId="77777777" w:rsidR="006F3104" w:rsidRPr="006F3104" w:rsidRDefault="006F3104" w:rsidP="0045372B">
            <w:pPr>
              <w:spacing w:line="276" w:lineRule="auto"/>
              <w:rPr>
                <w:rFonts w:ascii="David" w:hAnsi="David" w:cs="David"/>
                <w:rtl/>
              </w:rPr>
            </w:pPr>
            <w:r w:rsidRPr="006F3104">
              <w:rPr>
                <w:rFonts w:ascii="David" w:hAnsi="David" w:cs="David"/>
                <w:rtl/>
              </w:rPr>
              <w:t xml:space="preserve">דוד המלך הצדיק, נעים זמירות ישראל, זכה להקים את בית המלכות הישראלי לדורות ולייסד את מדינת היהודים הראשונה. תחת הנהגתו התאחד כל עם ישראל ובימי בנו שלמה, נבנה גם בית המקדש בירושלים. דוד גם לא עבר על האיסורים המיוחדים למלך, לא הרבה לו סוסים, נשים וכסף וזהב. הוא גם הקפיד על מידת הענוה וחז"ל רואים בו סמל למנהיג עניו יחד עם אברהם ומשה, זכות אדירה. </w:t>
            </w:r>
          </w:p>
          <w:p w14:paraId="01370FD8" w14:textId="77777777" w:rsidR="006F3104" w:rsidRPr="006F3104" w:rsidRDefault="006F3104" w:rsidP="0045372B">
            <w:pPr>
              <w:spacing w:line="276" w:lineRule="auto"/>
              <w:rPr>
                <w:rFonts w:ascii="David" w:hAnsi="David" w:cs="David"/>
                <w:rtl/>
              </w:rPr>
            </w:pPr>
            <w:r w:rsidRPr="006F3104">
              <w:rPr>
                <w:rFonts w:ascii="David" w:hAnsi="David" w:cs="David"/>
                <w:rtl/>
              </w:rPr>
              <w:t xml:space="preserve">אף על פי כן אחד מבניו היה בן סורר ומורה – אבשלום. </w:t>
            </w:r>
          </w:p>
          <w:p w14:paraId="416718EE" w14:textId="77777777" w:rsidR="0045372B" w:rsidRDefault="006F3104" w:rsidP="0045372B">
            <w:pPr>
              <w:spacing w:line="276" w:lineRule="auto"/>
              <w:rPr>
                <w:rFonts w:ascii="David" w:hAnsi="David" w:cs="David"/>
                <w:rtl/>
              </w:rPr>
            </w:pPr>
            <w:r w:rsidRPr="006F3104">
              <w:rPr>
                <w:rFonts w:ascii="David" w:hAnsi="David" w:cs="David"/>
                <w:rtl/>
              </w:rPr>
              <w:t xml:space="preserve">התורה עוסקת בנושא זה בפרשתנו. אבשלום הוא בנה של אשת יפת תואר מעכה בת תלמי מלך </w:t>
            </w:r>
            <w:proofErr w:type="spellStart"/>
            <w:r w:rsidRPr="006F3104">
              <w:rPr>
                <w:rFonts w:ascii="David" w:hAnsi="David" w:cs="David"/>
                <w:rtl/>
              </w:rPr>
              <w:t>גשור</w:t>
            </w:r>
            <w:proofErr w:type="spellEnd"/>
            <w:r w:rsidRPr="006F3104">
              <w:rPr>
                <w:rFonts w:ascii="David" w:hAnsi="David" w:cs="David"/>
                <w:rtl/>
              </w:rPr>
              <w:t xml:space="preserve">, כך מפורש בכתוב ובדברי חז"ל. בכתוב: </w:t>
            </w:r>
            <w:r w:rsidRPr="006F3104">
              <w:rPr>
                <w:rFonts w:ascii="FrankRuehl" w:hAnsi="FrankRuehl" w:cs="FrankRuehl"/>
                <w:sz w:val="25"/>
                <w:szCs w:val="25"/>
                <w:rtl/>
              </w:rPr>
              <w:t xml:space="preserve">"וַיִּוָּלְדוּ לְדָוִד בָּנִים בְּחֶבְרוֹן ...  </w:t>
            </w:r>
            <w:proofErr w:type="spellStart"/>
            <w:r w:rsidRPr="006F3104">
              <w:rPr>
                <w:rFonts w:ascii="FrankRuehl" w:hAnsi="FrankRuehl" w:cs="FrankRuehl"/>
                <w:sz w:val="25"/>
                <w:szCs w:val="25"/>
                <w:rtl/>
              </w:rPr>
              <w:t>וְהַשְּׁלִשִׁי</w:t>
            </w:r>
            <w:proofErr w:type="spellEnd"/>
            <w:r w:rsidRPr="006F3104">
              <w:rPr>
                <w:rFonts w:ascii="FrankRuehl" w:hAnsi="FrankRuehl" w:cs="FrankRuehl"/>
                <w:sz w:val="25"/>
                <w:szCs w:val="25"/>
                <w:rtl/>
              </w:rPr>
              <w:t xml:space="preserve"> אַבְשָׁלוֹם בֶּן מַעֲכָה בַּת תַּלְמַי מֶלֶךְ </w:t>
            </w:r>
            <w:proofErr w:type="spellStart"/>
            <w:r w:rsidRPr="006F3104">
              <w:rPr>
                <w:rFonts w:ascii="FrankRuehl" w:hAnsi="FrankRuehl" w:cs="FrankRuehl"/>
                <w:sz w:val="25"/>
                <w:szCs w:val="25"/>
                <w:rtl/>
              </w:rPr>
              <w:t>גְּשׁוּר</w:t>
            </w:r>
            <w:proofErr w:type="spellEnd"/>
            <w:r w:rsidRPr="006F3104">
              <w:rPr>
                <w:rFonts w:ascii="FrankRuehl" w:hAnsi="FrankRuehl" w:cs="FrankRuehl"/>
                <w:sz w:val="25"/>
                <w:szCs w:val="25"/>
                <w:rtl/>
              </w:rPr>
              <w:t>"</w:t>
            </w:r>
            <w:r w:rsidRPr="006F3104">
              <w:rPr>
                <w:rFonts w:ascii="David" w:hAnsi="David" w:cs="David"/>
                <w:rtl/>
              </w:rPr>
              <w:t xml:space="preserve"> </w:t>
            </w:r>
            <w:r w:rsidRPr="006F3104">
              <w:rPr>
                <w:rFonts w:ascii="David" w:hAnsi="David" w:cs="David"/>
                <w:sz w:val="20"/>
                <w:szCs w:val="20"/>
                <w:rtl/>
              </w:rPr>
              <w:t>(</w:t>
            </w:r>
            <w:proofErr w:type="spellStart"/>
            <w:r w:rsidRPr="006F3104">
              <w:rPr>
                <w:rFonts w:ascii="David" w:hAnsi="David" w:cs="David"/>
                <w:sz w:val="20"/>
                <w:szCs w:val="20"/>
                <w:rtl/>
              </w:rPr>
              <w:t>שמו"ב</w:t>
            </w:r>
            <w:proofErr w:type="spellEnd"/>
            <w:r w:rsidRPr="006F3104">
              <w:rPr>
                <w:rFonts w:ascii="David" w:hAnsi="David" w:cs="David"/>
                <w:sz w:val="20"/>
                <w:szCs w:val="20"/>
                <w:rtl/>
              </w:rPr>
              <w:t xml:space="preserve"> ג, ב-ג).</w:t>
            </w:r>
            <w:r w:rsidRPr="006F3104">
              <w:rPr>
                <w:rFonts w:ascii="David" w:hAnsi="David" w:cs="David"/>
                <w:rtl/>
              </w:rPr>
              <w:t xml:space="preserve"> ובדברי חז"ל: "שנו רבותינו עבירה גוררת עבירה, וראית בשביה אשת יפת תאר ...מה כתיב אחריו, כי </w:t>
            </w:r>
            <w:proofErr w:type="spellStart"/>
            <w:r w:rsidRPr="006F3104">
              <w:rPr>
                <w:rFonts w:ascii="David" w:hAnsi="David" w:cs="David"/>
                <w:rtl/>
              </w:rPr>
              <w:t>תהיין</w:t>
            </w:r>
            <w:proofErr w:type="spellEnd"/>
            <w:r w:rsidRPr="006F3104">
              <w:rPr>
                <w:rFonts w:ascii="David" w:hAnsi="David" w:cs="David"/>
                <w:rtl/>
              </w:rPr>
              <w:t xml:space="preserve"> לאיש שתי נשים...</w:t>
            </w:r>
            <w:r w:rsidR="0045372B">
              <w:rPr>
                <w:rFonts w:ascii="David" w:hAnsi="David" w:cs="David" w:hint="cs"/>
                <w:rtl/>
              </w:rPr>
              <w:t xml:space="preserve"> </w:t>
            </w:r>
            <w:r w:rsidRPr="006F3104">
              <w:rPr>
                <w:rFonts w:ascii="David" w:hAnsi="David" w:cs="David"/>
                <w:rtl/>
              </w:rPr>
              <w:t xml:space="preserve">מה כתיב אחריו, כי יהיה לאיש בן סורר ומורה... כל מאן </w:t>
            </w:r>
            <w:proofErr w:type="spellStart"/>
            <w:r w:rsidRPr="006F3104">
              <w:rPr>
                <w:rFonts w:ascii="David" w:hAnsi="David" w:cs="David"/>
                <w:rtl/>
              </w:rPr>
              <w:t>דנסיב</w:t>
            </w:r>
            <w:proofErr w:type="spellEnd"/>
            <w:r w:rsidRPr="006F3104">
              <w:rPr>
                <w:rFonts w:ascii="David" w:hAnsi="David" w:cs="David"/>
                <w:rtl/>
              </w:rPr>
              <w:t xml:space="preserve"> יפת תואר נפיק </w:t>
            </w:r>
            <w:proofErr w:type="spellStart"/>
            <w:r w:rsidRPr="006F3104">
              <w:rPr>
                <w:rFonts w:ascii="David" w:hAnsi="David" w:cs="David"/>
                <w:rtl/>
              </w:rPr>
              <w:t>מינייהו</w:t>
            </w:r>
            <w:proofErr w:type="spellEnd"/>
            <w:r w:rsidRPr="006F3104">
              <w:rPr>
                <w:rFonts w:ascii="David" w:hAnsi="David" w:cs="David"/>
                <w:rtl/>
              </w:rPr>
              <w:t xml:space="preserve"> בן סורר ומורה, שכן מצינו בדוד, על שחמד מעכה בת תלמי מלך </w:t>
            </w:r>
            <w:proofErr w:type="spellStart"/>
            <w:r w:rsidRPr="006F3104">
              <w:rPr>
                <w:rFonts w:ascii="David" w:hAnsi="David" w:cs="David"/>
                <w:rtl/>
              </w:rPr>
              <w:t>גשור</w:t>
            </w:r>
            <w:proofErr w:type="spellEnd"/>
            <w:r w:rsidRPr="006F3104">
              <w:rPr>
                <w:rFonts w:ascii="David" w:hAnsi="David" w:cs="David"/>
                <w:rtl/>
              </w:rPr>
              <w:t xml:space="preserve"> בצאתו למלחמה, יצא ממנו אבשלום, שביקש להרוג אותו, ושכב עם נשיו לעיני כל ישראל ולעיני השמש, ועל ידו נהרגו כמה רבבות מישראל, ועשה מחלוקת בישראל" </w:t>
            </w:r>
            <w:r w:rsidRPr="006F3104">
              <w:rPr>
                <w:rFonts w:ascii="David" w:hAnsi="David" w:cs="David"/>
                <w:sz w:val="20"/>
                <w:szCs w:val="20"/>
                <w:rtl/>
              </w:rPr>
              <w:t>(</w:t>
            </w:r>
            <w:proofErr w:type="spellStart"/>
            <w:r w:rsidRPr="006F3104">
              <w:rPr>
                <w:rFonts w:ascii="David" w:hAnsi="David" w:cs="David"/>
                <w:sz w:val="20"/>
                <w:szCs w:val="20"/>
                <w:rtl/>
              </w:rPr>
              <w:t>תנחומא</w:t>
            </w:r>
            <w:proofErr w:type="spellEnd"/>
            <w:r w:rsidRPr="006F3104">
              <w:rPr>
                <w:rFonts w:ascii="David" w:hAnsi="David" w:cs="David"/>
                <w:sz w:val="20"/>
                <w:szCs w:val="20"/>
                <w:rtl/>
              </w:rPr>
              <w:t xml:space="preserve"> פרשת כי תצא סימן א).</w:t>
            </w:r>
            <w:r w:rsidRPr="006F3104">
              <w:rPr>
                <w:rFonts w:ascii="David" w:hAnsi="David" w:cs="David"/>
                <w:rtl/>
              </w:rPr>
              <w:t xml:space="preserve"> </w:t>
            </w:r>
          </w:p>
          <w:p w14:paraId="38678EFC" w14:textId="7B31D28B" w:rsidR="006F3104" w:rsidRPr="006F3104" w:rsidRDefault="006F3104" w:rsidP="0045372B">
            <w:pPr>
              <w:spacing w:line="276" w:lineRule="auto"/>
              <w:rPr>
                <w:rFonts w:ascii="David" w:hAnsi="David" w:cs="David"/>
                <w:rtl/>
              </w:rPr>
            </w:pPr>
            <w:r w:rsidRPr="006F3104">
              <w:rPr>
                <w:rFonts w:ascii="David" w:hAnsi="David" w:cs="David"/>
                <w:rtl/>
              </w:rPr>
              <w:t xml:space="preserve">ניתן לחזק את דברי חז"ל גם מכך שעונשו של בן סורר ומורה הוא בסקילה </w:t>
            </w:r>
            <w:r w:rsidRPr="006F3104">
              <w:rPr>
                <w:rFonts w:ascii="FrankRuehl" w:hAnsi="FrankRuehl" w:cs="FrankRuehl"/>
                <w:sz w:val="25"/>
                <w:szCs w:val="25"/>
                <w:rtl/>
              </w:rPr>
              <w:t>"</w:t>
            </w:r>
            <w:proofErr w:type="spellStart"/>
            <w:r w:rsidRPr="006F3104">
              <w:rPr>
                <w:rFonts w:ascii="FrankRuehl" w:hAnsi="FrankRuehl" w:cs="FrankRuehl"/>
                <w:sz w:val="25"/>
                <w:szCs w:val="25"/>
                <w:rtl/>
              </w:rPr>
              <w:t>וּרְגָמֻהו</w:t>
            </w:r>
            <w:proofErr w:type="spellEnd"/>
            <w:r w:rsidRPr="006F3104">
              <w:rPr>
                <w:rFonts w:ascii="FrankRuehl" w:hAnsi="FrankRuehl" w:cs="FrankRuehl"/>
                <w:sz w:val="25"/>
                <w:szCs w:val="25"/>
                <w:rtl/>
              </w:rPr>
              <w:t xml:space="preserve">ּ כָּל אַנְשֵׁי עִירוֹ בָאֲבָנִים וָמֵת" </w:t>
            </w:r>
            <w:r w:rsidRPr="006F3104">
              <w:rPr>
                <w:rFonts w:ascii="David" w:hAnsi="David" w:cs="David"/>
                <w:rtl/>
              </w:rPr>
              <w:t xml:space="preserve">ורבי אליעזר במשנה מלמד אותנו כי "כל </w:t>
            </w:r>
            <w:proofErr w:type="spellStart"/>
            <w:r w:rsidRPr="006F3104">
              <w:rPr>
                <w:rFonts w:ascii="David" w:hAnsi="David" w:cs="David"/>
                <w:rtl/>
              </w:rPr>
              <w:t>הנסקלין</w:t>
            </w:r>
            <w:proofErr w:type="spellEnd"/>
            <w:r w:rsidRPr="006F3104">
              <w:rPr>
                <w:rFonts w:ascii="David" w:hAnsi="David" w:cs="David"/>
                <w:rtl/>
              </w:rPr>
              <w:t xml:space="preserve"> </w:t>
            </w:r>
            <w:proofErr w:type="spellStart"/>
            <w:r w:rsidRPr="006F3104">
              <w:rPr>
                <w:rFonts w:ascii="David" w:hAnsi="David" w:cs="David"/>
                <w:rtl/>
              </w:rPr>
              <w:t>נתלין</w:t>
            </w:r>
            <w:proofErr w:type="spellEnd"/>
            <w:r w:rsidRPr="006F3104">
              <w:rPr>
                <w:rFonts w:ascii="David" w:hAnsi="David" w:cs="David"/>
                <w:rtl/>
              </w:rPr>
              <w:t xml:space="preserve">" </w:t>
            </w:r>
            <w:r w:rsidRPr="006F3104">
              <w:rPr>
                <w:rFonts w:ascii="David" w:hAnsi="David" w:cs="David"/>
                <w:sz w:val="20"/>
                <w:szCs w:val="20"/>
                <w:rtl/>
              </w:rPr>
              <w:t>(סנהדרין פ"ו מ"ד).</w:t>
            </w:r>
            <w:r w:rsidRPr="006F3104">
              <w:rPr>
                <w:rFonts w:ascii="David" w:hAnsi="David" w:cs="David"/>
                <w:rtl/>
              </w:rPr>
              <w:t xml:space="preserve"> אבשלום נתלה בשערו באילן ואז נסקל "</w:t>
            </w:r>
            <w:r w:rsidRPr="0045372B">
              <w:rPr>
                <w:rFonts w:ascii="FrankRuehl" w:hAnsi="FrankRuehl" w:cs="FrankRuehl"/>
                <w:sz w:val="25"/>
                <w:szCs w:val="25"/>
                <w:rtl/>
              </w:rPr>
              <w:t>רָאִיתִי אֶת אַבְשָׁלֹם תָּלוּי בָּאֵלָה"</w:t>
            </w:r>
            <w:r w:rsidRPr="006F3104">
              <w:rPr>
                <w:rFonts w:ascii="David" w:hAnsi="David" w:cs="David"/>
                <w:rtl/>
              </w:rPr>
              <w:t xml:space="preserve"> </w:t>
            </w:r>
            <w:r w:rsidRPr="006F3104">
              <w:rPr>
                <w:rFonts w:ascii="David" w:hAnsi="David" w:cs="David"/>
                <w:sz w:val="20"/>
                <w:szCs w:val="20"/>
                <w:rtl/>
              </w:rPr>
              <w:t>(</w:t>
            </w:r>
            <w:proofErr w:type="spellStart"/>
            <w:r w:rsidRPr="006F3104">
              <w:rPr>
                <w:rFonts w:ascii="David" w:hAnsi="David" w:cs="David"/>
                <w:sz w:val="20"/>
                <w:szCs w:val="20"/>
                <w:rtl/>
              </w:rPr>
              <w:t>שמו"ב</w:t>
            </w:r>
            <w:proofErr w:type="spellEnd"/>
            <w:r w:rsidRPr="006F3104">
              <w:rPr>
                <w:rFonts w:ascii="David" w:hAnsi="David" w:cs="David"/>
                <w:sz w:val="20"/>
                <w:szCs w:val="20"/>
                <w:rtl/>
              </w:rPr>
              <w:t xml:space="preserve"> </w:t>
            </w:r>
            <w:proofErr w:type="spellStart"/>
            <w:r w:rsidRPr="006F3104">
              <w:rPr>
                <w:rFonts w:ascii="David" w:hAnsi="David" w:cs="David"/>
                <w:sz w:val="20"/>
                <w:szCs w:val="20"/>
                <w:rtl/>
              </w:rPr>
              <w:t>יח</w:t>
            </w:r>
            <w:proofErr w:type="spellEnd"/>
            <w:r w:rsidRPr="006F3104">
              <w:rPr>
                <w:rFonts w:ascii="David" w:hAnsi="David" w:cs="David"/>
                <w:sz w:val="20"/>
                <w:szCs w:val="20"/>
                <w:rtl/>
              </w:rPr>
              <w:t>, י)</w:t>
            </w:r>
            <w:r w:rsidRPr="006F3104">
              <w:rPr>
                <w:rFonts w:ascii="David" w:hAnsi="David" w:cs="David"/>
                <w:rtl/>
              </w:rPr>
              <w:t xml:space="preserve"> </w:t>
            </w:r>
            <w:r w:rsidRPr="006F3104">
              <w:rPr>
                <w:rFonts w:ascii="FrankRuehl" w:hAnsi="FrankRuehl" w:cs="FrankRuehl"/>
                <w:sz w:val="25"/>
                <w:szCs w:val="25"/>
                <w:rtl/>
              </w:rPr>
              <w:t>"</w:t>
            </w:r>
            <w:proofErr w:type="spellStart"/>
            <w:r w:rsidRPr="006F3104">
              <w:rPr>
                <w:rFonts w:ascii="FrankRuehl" w:hAnsi="FrankRuehl" w:cs="FrankRuehl"/>
                <w:sz w:val="25"/>
                <w:szCs w:val="25"/>
                <w:rtl/>
              </w:rPr>
              <w:t>וַיִּקְחו</w:t>
            </w:r>
            <w:proofErr w:type="spellEnd"/>
            <w:r w:rsidRPr="006F3104">
              <w:rPr>
                <w:rFonts w:ascii="FrankRuehl" w:hAnsi="FrankRuehl" w:cs="FrankRuehl"/>
                <w:sz w:val="25"/>
                <w:szCs w:val="25"/>
                <w:rtl/>
              </w:rPr>
              <w:t xml:space="preserve">ּ אֶת אַבְשָׁלוֹם וַיַּשְׁלִיכוּ אֹתוֹ בַיַּעַר אֶל הַפַּחַת הַגָּדוֹל וַיַּצִּבוּ עָלָיו גַּל אֲבָנִים גָּדוֹל מְאֹד" </w:t>
            </w:r>
            <w:r w:rsidRPr="006F3104">
              <w:rPr>
                <w:rFonts w:ascii="David" w:hAnsi="David" w:cs="David"/>
                <w:sz w:val="20"/>
                <w:szCs w:val="20"/>
                <w:rtl/>
              </w:rPr>
              <w:t xml:space="preserve">(שם, </w:t>
            </w:r>
            <w:proofErr w:type="spellStart"/>
            <w:r w:rsidRPr="006F3104">
              <w:rPr>
                <w:rFonts w:ascii="David" w:hAnsi="David" w:cs="David"/>
                <w:sz w:val="20"/>
                <w:szCs w:val="20"/>
                <w:rtl/>
              </w:rPr>
              <w:t>יח</w:t>
            </w:r>
            <w:proofErr w:type="spellEnd"/>
            <w:r w:rsidRPr="006F3104">
              <w:rPr>
                <w:rFonts w:ascii="David" w:hAnsi="David" w:cs="David"/>
                <w:sz w:val="20"/>
                <w:szCs w:val="20"/>
                <w:rtl/>
              </w:rPr>
              <w:t xml:space="preserve">, </w:t>
            </w:r>
            <w:proofErr w:type="spellStart"/>
            <w:r w:rsidRPr="006F3104">
              <w:rPr>
                <w:rFonts w:ascii="David" w:hAnsi="David" w:cs="David"/>
                <w:sz w:val="20"/>
                <w:szCs w:val="20"/>
                <w:rtl/>
              </w:rPr>
              <w:t>יז</w:t>
            </w:r>
            <w:proofErr w:type="spellEnd"/>
            <w:r w:rsidRPr="006F3104">
              <w:rPr>
                <w:rFonts w:ascii="David" w:hAnsi="David" w:cs="David"/>
                <w:sz w:val="20"/>
                <w:szCs w:val="20"/>
                <w:rtl/>
              </w:rPr>
              <w:t>).</w:t>
            </w:r>
            <w:r w:rsidRPr="006F3104">
              <w:rPr>
                <w:rFonts w:ascii="David" w:hAnsi="David" w:cs="David"/>
                <w:rtl/>
              </w:rPr>
              <w:t xml:space="preserve"> </w:t>
            </w:r>
          </w:p>
          <w:p w14:paraId="77E53841" w14:textId="77777777" w:rsidR="006F3104" w:rsidRPr="006F3104" w:rsidRDefault="006F3104" w:rsidP="0045372B">
            <w:pPr>
              <w:spacing w:line="276" w:lineRule="auto"/>
              <w:rPr>
                <w:rFonts w:ascii="David" w:hAnsi="David" w:cs="David"/>
                <w:rtl/>
              </w:rPr>
            </w:pPr>
          </w:p>
          <w:p w14:paraId="2FAC11B2" w14:textId="77777777" w:rsidR="006F3104" w:rsidRPr="006F3104" w:rsidRDefault="006F3104" w:rsidP="0045372B">
            <w:pPr>
              <w:spacing w:line="276" w:lineRule="auto"/>
              <w:rPr>
                <w:rFonts w:ascii="David" w:hAnsi="David" w:cs="David"/>
                <w:rtl/>
              </w:rPr>
            </w:pPr>
            <w:r w:rsidRPr="006F3104">
              <w:rPr>
                <w:rFonts w:ascii="David" w:hAnsi="David" w:cs="David"/>
                <w:rtl/>
              </w:rPr>
              <w:t xml:space="preserve">אם כך, מה הכשיל את אבשלום? כיצד הוא הגיע למצב זה, והרי יש לו בחירה חופשית? </w:t>
            </w:r>
          </w:p>
          <w:p w14:paraId="772FABB5" w14:textId="77777777" w:rsidR="006F3104" w:rsidRPr="006F3104" w:rsidRDefault="006F3104" w:rsidP="0045372B">
            <w:pPr>
              <w:spacing w:line="276" w:lineRule="auto"/>
              <w:rPr>
                <w:rFonts w:ascii="David" w:hAnsi="David" w:cs="David"/>
                <w:rtl/>
              </w:rPr>
            </w:pPr>
            <w:r w:rsidRPr="006F3104">
              <w:rPr>
                <w:rFonts w:ascii="David" w:hAnsi="David" w:cs="David"/>
                <w:rtl/>
              </w:rPr>
              <w:t xml:space="preserve">התשובה נמצאת בסוף פרשת המלך, שם נאמר </w:t>
            </w:r>
            <w:r w:rsidRPr="006F3104">
              <w:rPr>
                <w:rFonts w:ascii="FrankRuehl" w:hAnsi="FrankRuehl" w:cs="FrankRuehl"/>
                <w:sz w:val="25"/>
                <w:szCs w:val="25"/>
                <w:rtl/>
              </w:rPr>
              <w:t>"</w:t>
            </w:r>
            <w:r w:rsidRPr="006F3104">
              <w:rPr>
                <w:rFonts w:ascii="FrankRuehl" w:hAnsi="FrankRuehl" w:cs="FrankRuehl"/>
                <w:b/>
                <w:bCs/>
                <w:sz w:val="25"/>
                <w:szCs w:val="25"/>
                <w:rtl/>
              </w:rPr>
              <w:t xml:space="preserve">לְבִלְתִּי רוּם לְבָבוֹ מֵאֶחָיו </w:t>
            </w:r>
            <w:r w:rsidRPr="006F3104">
              <w:rPr>
                <w:rFonts w:ascii="FrankRuehl" w:hAnsi="FrankRuehl" w:cs="FrankRuehl"/>
                <w:sz w:val="25"/>
                <w:szCs w:val="25"/>
                <w:rtl/>
              </w:rPr>
              <w:t>... לְמַעַן יַאֲרִיךְ יָמִים עַל מַמְלַכְתּוֹ הוּא וּבָנָיו בְּקֶרֶב יִשְׂרָאֵל"</w:t>
            </w:r>
            <w:r w:rsidRPr="006F3104">
              <w:rPr>
                <w:rFonts w:ascii="David" w:hAnsi="David" w:cs="David"/>
                <w:rtl/>
              </w:rPr>
              <w:t xml:space="preserve">. </w:t>
            </w:r>
          </w:p>
          <w:p w14:paraId="7ADB3AFB" w14:textId="77777777" w:rsidR="006F3104" w:rsidRPr="006F3104" w:rsidRDefault="006F3104" w:rsidP="0045372B">
            <w:pPr>
              <w:spacing w:line="276" w:lineRule="auto"/>
              <w:rPr>
                <w:rFonts w:ascii="David" w:hAnsi="David" w:cs="David"/>
                <w:rtl/>
              </w:rPr>
            </w:pPr>
            <w:r w:rsidRPr="006F3104">
              <w:rPr>
                <w:rFonts w:ascii="David" w:hAnsi="David" w:cs="David"/>
                <w:rtl/>
              </w:rPr>
              <w:t xml:space="preserve">כדי שהמולך על ישראל יזכה לייצג מלכות שמים, עליו לבטל את עצמו. זה כלל ברזל ותנאי הכרחי, לכל מנהיג, גם אם אינו מלך, ק"ו אם הוא עומד בראש. על אבשלום נאמר: </w:t>
            </w:r>
            <w:r w:rsidRPr="006F3104">
              <w:rPr>
                <w:rFonts w:ascii="FrankRuehl" w:hAnsi="FrankRuehl" w:cs="FrankRuehl"/>
                <w:sz w:val="25"/>
                <w:szCs w:val="25"/>
                <w:rtl/>
              </w:rPr>
              <w:t xml:space="preserve">"וַיְהִי מֵאַחֲרֵי כֵן וַיַּעַשׂ לוֹ אַבְשָׁלוֹם מֶרְכָּבָה וְסֻסִים וַחֲמִשִּׁים אִישׁ רָצִים לְפָנָיו" </w:t>
            </w:r>
            <w:r w:rsidRPr="006F3104">
              <w:rPr>
                <w:rFonts w:ascii="David" w:hAnsi="David" w:cs="David"/>
                <w:sz w:val="20"/>
                <w:szCs w:val="20"/>
                <w:rtl/>
              </w:rPr>
              <w:t>(</w:t>
            </w:r>
            <w:proofErr w:type="spellStart"/>
            <w:r w:rsidRPr="006F3104">
              <w:rPr>
                <w:rFonts w:ascii="David" w:hAnsi="David" w:cs="David"/>
                <w:sz w:val="20"/>
                <w:szCs w:val="20"/>
                <w:rtl/>
              </w:rPr>
              <w:t>שמו"ב</w:t>
            </w:r>
            <w:proofErr w:type="spellEnd"/>
            <w:r w:rsidRPr="006F3104">
              <w:rPr>
                <w:rFonts w:ascii="David" w:hAnsi="David" w:cs="David"/>
                <w:sz w:val="20"/>
                <w:szCs w:val="20"/>
                <w:rtl/>
              </w:rPr>
              <w:t xml:space="preserve"> טו, א).</w:t>
            </w:r>
            <w:r w:rsidRPr="006F3104">
              <w:rPr>
                <w:rFonts w:ascii="David" w:hAnsi="David" w:cs="David"/>
                <w:rtl/>
              </w:rPr>
              <w:t xml:space="preserve"> משמעות צעד זה מוסברת בספר מלכים בכתוב העוסק באחיו </w:t>
            </w:r>
            <w:proofErr w:type="spellStart"/>
            <w:r w:rsidRPr="006F3104">
              <w:rPr>
                <w:rFonts w:ascii="David" w:hAnsi="David" w:cs="David"/>
                <w:rtl/>
              </w:rPr>
              <w:t>אדניה</w:t>
            </w:r>
            <w:proofErr w:type="spellEnd"/>
            <w:r w:rsidRPr="006F3104">
              <w:rPr>
                <w:rFonts w:ascii="David" w:hAnsi="David" w:cs="David"/>
                <w:rtl/>
              </w:rPr>
              <w:t xml:space="preserve">, תוך השוואה אליו: </w:t>
            </w:r>
            <w:r w:rsidRPr="006F3104">
              <w:rPr>
                <w:rFonts w:ascii="FrankRuehl" w:hAnsi="FrankRuehl" w:cs="FrankRuehl"/>
                <w:sz w:val="25"/>
                <w:szCs w:val="25"/>
                <w:rtl/>
              </w:rPr>
              <w:t>"</w:t>
            </w:r>
            <w:proofErr w:type="spellStart"/>
            <w:r w:rsidRPr="006F3104">
              <w:rPr>
                <w:rFonts w:ascii="FrankRuehl" w:hAnsi="FrankRuehl" w:cs="FrankRuehl"/>
                <w:sz w:val="25"/>
                <w:szCs w:val="25"/>
                <w:rtl/>
              </w:rPr>
              <w:t>וַאֲדֹנִיָּה</w:t>
            </w:r>
            <w:proofErr w:type="spellEnd"/>
            <w:r w:rsidRPr="006F3104">
              <w:rPr>
                <w:rFonts w:ascii="FrankRuehl" w:hAnsi="FrankRuehl" w:cs="FrankRuehl"/>
                <w:sz w:val="25"/>
                <w:szCs w:val="25"/>
                <w:rtl/>
              </w:rPr>
              <w:t xml:space="preserve"> בֶן חַגִּית מִתְנַשֵּׂא </w:t>
            </w:r>
            <w:proofErr w:type="spellStart"/>
            <w:r w:rsidRPr="006F3104">
              <w:rPr>
                <w:rFonts w:ascii="FrankRuehl" w:hAnsi="FrankRuehl" w:cs="FrankRuehl"/>
                <w:sz w:val="25"/>
                <w:szCs w:val="25"/>
                <w:rtl/>
              </w:rPr>
              <w:t>לֵאמֹר</w:t>
            </w:r>
            <w:proofErr w:type="spellEnd"/>
            <w:r w:rsidRPr="006F3104">
              <w:rPr>
                <w:rFonts w:ascii="FrankRuehl" w:hAnsi="FrankRuehl" w:cs="FrankRuehl"/>
                <w:sz w:val="25"/>
                <w:szCs w:val="25"/>
                <w:rtl/>
              </w:rPr>
              <w:t xml:space="preserve"> אֲנִי </w:t>
            </w:r>
            <w:proofErr w:type="spellStart"/>
            <w:r w:rsidRPr="006F3104">
              <w:rPr>
                <w:rFonts w:ascii="FrankRuehl" w:hAnsi="FrankRuehl" w:cs="FrankRuehl"/>
                <w:sz w:val="25"/>
                <w:szCs w:val="25"/>
                <w:rtl/>
              </w:rPr>
              <w:t>אֶמְלֹך</w:t>
            </w:r>
            <w:proofErr w:type="spellEnd"/>
            <w:r w:rsidRPr="006F3104">
              <w:rPr>
                <w:rFonts w:ascii="FrankRuehl" w:hAnsi="FrankRuehl" w:cs="FrankRuehl"/>
                <w:sz w:val="25"/>
                <w:szCs w:val="25"/>
                <w:rtl/>
              </w:rPr>
              <w:t xml:space="preserve">ְ וַיַּעַשׂ לוֹ רֶכֶב וּפָרָשִׁים וַחֲמִשִּׁים אִישׁ רָצִים לְפָנָיו: ... וְגַם הוּא טוֹב תֹּאַר מְאֹד וְאֹתוֹ יָלְדָה אַחֲרֵי אַבְשָׁלוֹם" </w:t>
            </w:r>
            <w:r w:rsidRPr="006F3104">
              <w:rPr>
                <w:rFonts w:ascii="David" w:hAnsi="David" w:cs="David"/>
                <w:sz w:val="20"/>
                <w:szCs w:val="20"/>
                <w:rtl/>
              </w:rPr>
              <w:t>(מלכים א' א, ה-ו).</w:t>
            </w:r>
            <w:r w:rsidRPr="006F3104">
              <w:rPr>
                <w:rFonts w:ascii="David" w:hAnsi="David" w:cs="David"/>
                <w:rtl/>
              </w:rPr>
              <w:t xml:space="preserve"> </w:t>
            </w:r>
          </w:p>
          <w:p w14:paraId="788EDD8D" w14:textId="77777777" w:rsidR="0045372B" w:rsidRDefault="006F3104" w:rsidP="0045372B">
            <w:pPr>
              <w:spacing w:line="276" w:lineRule="auto"/>
              <w:rPr>
                <w:rFonts w:ascii="David" w:hAnsi="David" w:cs="David"/>
                <w:rtl/>
              </w:rPr>
            </w:pPr>
            <w:r w:rsidRPr="006F3104">
              <w:rPr>
                <w:rFonts w:ascii="David" w:hAnsi="David" w:cs="David"/>
                <w:rtl/>
              </w:rPr>
              <w:t xml:space="preserve">הגאווה היא שהכשילה את אבשלום ואת </w:t>
            </w:r>
            <w:proofErr w:type="spellStart"/>
            <w:r w:rsidRPr="006F3104">
              <w:rPr>
                <w:rFonts w:ascii="David" w:hAnsi="David" w:cs="David"/>
                <w:rtl/>
              </w:rPr>
              <w:t>אדניה</w:t>
            </w:r>
            <w:proofErr w:type="spellEnd"/>
            <w:r w:rsidRPr="006F3104">
              <w:rPr>
                <w:rFonts w:ascii="David" w:hAnsi="David" w:cs="David"/>
                <w:rtl/>
              </w:rPr>
              <w:t xml:space="preserve"> בעקבותיו. </w:t>
            </w:r>
          </w:p>
          <w:p w14:paraId="4772B5AE" w14:textId="1BD6755E" w:rsidR="006F3104" w:rsidRPr="006F3104" w:rsidRDefault="006F3104" w:rsidP="0045372B">
            <w:pPr>
              <w:spacing w:line="276" w:lineRule="auto"/>
              <w:rPr>
                <w:rFonts w:ascii="David" w:hAnsi="David" w:cs="David"/>
                <w:rtl/>
              </w:rPr>
            </w:pPr>
            <w:r w:rsidRPr="006F3104">
              <w:rPr>
                <w:rFonts w:ascii="David" w:hAnsi="David" w:cs="David"/>
                <w:rtl/>
              </w:rPr>
              <w:t>אחרי אזהרה זו אף מנהיג לא יוכל לטעון "לא ידעתי", הדברים מפורשים</w:t>
            </w:r>
            <w:r w:rsidR="0045372B">
              <w:rPr>
                <w:rFonts w:ascii="David" w:hAnsi="David" w:cs="David" w:hint="cs"/>
                <w:rtl/>
              </w:rPr>
              <w:t>:</w:t>
            </w:r>
            <w:r w:rsidRPr="006F3104">
              <w:rPr>
                <w:rFonts w:ascii="David" w:hAnsi="David" w:cs="David"/>
                <w:rtl/>
              </w:rPr>
              <w:t xml:space="preserve"> </w:t>
            </w:r>
            <w:r w:rsidRPr="006F3104">
              <w:rPr>
                <w:rFonts w:ascii="FrankRuehl" w:hAnsi="FrankRuehl" w:cs="FrankRuehl"/>
                <w:b/>
                <w:bCs/>
                <w:sz w:val="25"/>
                <w:szCs w:val="25"/>
                <w:rtl/>
              </w:rPr>
              <w:t>"לְבִלְתִּי רוּם לְבָבוֹ מֵאֶחָיו</w:t>
            </w:r>
            <w:r w:rsidRPr="006F3104">
              <w:rPr>
                <w:rFonts w:ascii="FrankRuehl" w:hAnsi="FrankRuehl" w:cs="FrankRuehl"/>
                <w:sz w:val="25"/>
                <w:szCs w:val="25"/>
                <w:rtl/>
              </w:rPr>
              <w:t xml:space="preserve">". </w:t>
            </w:r>
          </w:p>
          <w:p w14:paraId="7E68D792" w14:textId="77777777" w:rsidR="0045372B" w:rsidRDefault="0045372B" w:rsidP="0045372B">
            <w:pPr>
              <w:spacing w:line="276" w:lineRule="auto"/>
              <w:rPr>
                <w:rFonts w:ascii="David" w:hAnsi="David" w:cs="David"/>
                <w:rtl/>
              </w:rPr>
            </w:pPr>
          </w:p>
          <w:p w14:paraId="16B0AFDA" w14:textId="7CD47A68" w:rsidR="006F3104" w:rsidRPr="006F3104" w:rsidRDefault="006F3104" w:rsidP="0045372B">
            <w:pPr>
              <w:spacing w:line="276" w:lineRule="auto"/>
              <w:jc w:val="center"/>
              <w:rPr>
                <w:rFonts w:ascii="David" w:hAnsi="David" w:cs="David"/>
              </w:rPr>
            </w:pPr>
            <w:r w:rsidRPr="006F3104">
              <w:rPr>
                <w:rFonts w:ascii="David" w:hAnsi="David" w:cs="David"/>
                <w:rtl/>
              </w:rPr>
              <w:t>הבה נתפלל כי נזכה למנהיגים אמיצים, חכמים ומוכשרים אבל גם ענווים.</w:t>
            </w:r>
          </w:p>
          <w:p w14:paraId="3EE1F3D5" w14:textId="75E4E6FC" w:rsidR="00C53C9A" w:rsidRPr="006F3104" w:rsidRDefault="00C53C9A" w:rsidP="006F3104">
            <w:pPr>
              <w:contextualSpacing/>
              <w:jc w:val="center"/>
              <w:rPr>
                <w:rFonts w:ascii="David" w:eastAsia="Calibri" w:hAnsi="David" w:cs="David"/>
                <w:rtl/>
              </w:rPr>
            </w:pPr>
          </w:p>
          <w:p w14:paraId="2ACF5B93" w14:textId="544B5D45" w:rsidR="009D10EF" w:rsidRPr="00C53C9A" w:rsidRDefault="0047033E" w:rsidP="00C574A9">
            <w:pPr>
              <w:spacing w:line="259" w:lineRule="auto"/>
              <w:contextualSpacing/>
              <w:rPr>
                <w:rFonts w:ascii="David" w:eastAsia="Calibri" w:hAnsi="David" w:cs="David"/>
                <w:sz w:val="10"/>
                <w:szCs w:val="10"/>
                <w:rtl/>
              </w:rPr>
            </w:pPr>
            <w:r w:rsidRPr="0047033E">
              <w:rPr>
                <w:rFonts w:ascii="FrankRuehl" w:eastAsia="Calibri" w:hAnsi="FrankRuehl" w:cs="FrankRuehl" w:hint="cs"/>
                <w:sz w:val="25"/>
                <w:szCs w:val="25"/>
                <w:rtl/>
              </w:rPr>
              <w:t xml:space="preserve"> </w:t>
            </w:r>
          </w:p>
          <w:p w14:paraId="1CBB7CB9" w14:textId="3B3D5D42" w:rsidR="0067429B" w:rsidRDefault="001969F8" w:rsidP="002D608A">
            <w:pPr>
              <w:contextualSpacing/>
              <w:jc w:val="center"/>
              <w:rPr>
                <w:rStyle w:val="Hyperlink"/>
                <w:rFonts w:ascii="David" w:hAnsi="David" w:cs="David"/>
                <w:sz w:val="22"/>
                <w:szCs w:val="22"/>
                <w:rtl/>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 xml:space="preserve">לשיעורי הרב יוסף כרמל </w:t>
              </w:r>
              <w:proofErr w:type="spellStart"/>
              <w:r w:rsidRPr="007B4150">
                <w:rPr>
                  <w:rStyle w:val="Hyperlink"/>
                  <w:rFonts w:ascii="David" w:hAnsi="David" w:cs="David"/>
                  <w:sz w:val="22"/>
                  <w:szCs w:val="22"/>
                  <w:rtl/>
                </w:rPr>
                <w:t>ביוטיוב</w:t>
              </w:r>
              <w:proofErr w:type="spellEnd"/>
            </w:hyperlink>
            <w:r w:rsidR="00D25B8B">
              <w:rPr>
                <w:rStyle w:val="Hyperlink"/>
                <w:rFonts w:ascii="David" w:hAnsi="David" w:cs="David" w:hint="cs"/>
                <w:sz w:val="22"/>
                <w:szCs w:val="22"/>
                <w:rtl/>
              </w:rPr>
              <w:t>)</w:t>
            </w:r>
          </w:p>
          <w:p w14:paraId="288A1FE0" w14:textId="233ED187" w:rsidR="00C17DA7" w:rsidRPr="00C53C9A" w:rsidRDefault="00C17DA7" w:rsidP="002D608A">
            <w:pPr>
              <w:contextualSpacing/>
              <w:jc w:val="center"/>
              <w:rPr>
                <w:rStyle w:val="Hyperlink"/>
                <w:rFonts w:ascii="David" w:hAnsi="David" w:cs="David"/>
                <w:sz w:val="28"/>
                <w:szCs w:val="28"/>
                <w:rtl/>
              </w:rPr>
            </w:pPr>
          </w:p>
          <w:p w14:paraId="713789CE" w14:textId="570D37EE" w:rsidR="007D558E" w:rsidRPr="007D1261" w:rsidRDefault="007D558E" w:rsidP="002D608A">
            <w:pPr>
              <w:contextualSpacing/>
              <w:jc w:val="center"/>
              <w:rPr>
                <w:color w:val="1F497D"/>
                <w:sz w:val="12"/>
                <w:szCs w:val="12"/>
                <w:rtl/>
              </w:rPr>
            </w:pPr>
          </w:p>
          <w:tbl>
            <w:tblPr>
              <w:tblpPr w:leftFromText="180" w:rightFromText="180" w:vertAnchor="text" w:horzAnchor="margin" w:tblpY="-21"/>
              <w:tblOverlap w:val="never"/>
              <w:bidiVisual/>
              <w:tblW w:w="11043" w:type="dxa"/>
              <w:tblLayout w:type="fixed"/>
              <w:tblCellMar>
                <w:left w:w="0" w:type="dxa"/>
                <w:right w:w="0" w:type="dxa"/>
              </w:tblCellMar>
              <w:tblLook w:val="04A0" w:firstRow="1" w:lastRow="0" w:firstColumn="1" w:lastColumn="0" w:noHBand="0" w:noVBand="1"/>
            </w:tblPr>
            <w:tblGrid>
              <w:gridCol w:w="1823"/>
              <w:gridCol w:w="284"/>
              <w:gridCol w:w="140"/>
              <w:gridCol w:w="709"/>
              <w:gridCol w:w="702"/>
              <w:gridCol w:w="144"/>
              <w:gridCol w:w="148"/>
              <w:gridCol w:w="425"/>
              <w:gridCol w:w="284"/>
              <w:gridCol w:w="423"/>
              <w:gridCol w:w="277"/>
              <w:gridCol w:w="9"/>
              <w:gridCol w:w="992"/>
              <w:gridCol w:w="283"/>
              <w:gridCol w:w="558"/>
              <w:gridCol w:w="575"/>
              <w:gridCol w:w="283"/>
              <w:gridCol w:w="144"/>
              <w:gridCol w:w="425"/>
              <w:gridCol w:w="274"/>
              <w:gridCol w:w="1710"/>
              <w:gridCol w:w="148"/>
              <w:gridCol w:w="283"/>
            </w:tblGrid>
            <w:tr w:rsidR="0024401E" w:rsidRPr="00A6414A" w14:paraId="2568EBA3" w14:textId="77777777" w:rsidTr="003457B3">
              <w:trPr>
                <w:trHeight w:val="273"/>
              </w:trPr>
              <w:tc>
                <w:tcPr>
                  <w:tcW w:w="3804" w:type="dxa"/>
                  <w:gridSpan w:val="6"/>
                  <w:tcMar>
                    <w:top w:w="0" w:type="dxa"/>
                    <w:left w:w="108" w:type="dxa"/>
                    <w:bottom w:w="0" w:type="dxa"/>
                    <w:right w:w="108" w:type="dxa"/>
                  </w:tcMar>
                  <w:vAlign w:val="center"/>
                </w:tcPr>
                <w:p w14:paraId="3DF52FB6" w14:textId="406EC90C" w:rsidR="0024401E" w:rsidRPr="00A6414A" w:rsidRDefault="0024401E" w:rsidP="002D608A">
                  <w:pPr>
                    <w:contextualSpacing/>
                    <w:jc w:val="center"/>
                    <w:rPr>
                      <w:rFonts w:ascii="David" w:eastAsia="Calibri" w:hAnsi="David" w:cs="David"/>
                      <w:color w:val="000000"/>
                      <w:sz w:val="30"/>
                      <w:szCs w:val="30"/>
                      <w:rtl/>
                    </w:rPr>
                  </w:pPr>
                  <w:bookmarkStart w:id="2" w:name="_Hlk172809546"/>
                  <w:r w:rsidRPr="00A6414A">
                    <w:rPr>
                      <w:rFonts w:ascii="David" w:eastAsia="Calibri" w:hAnsi="David" w:cs="Guttman Stam" w:hint="cs"/>
                      <w:b/>
                      <w:bCs/>
                      <w:color w:val="0070C0"/>
                      <w:sz w:val="30"/>
                      <w:szCs w:val="30"/>
                      <w:rtl/>
                    </w:rPr>
                    <w:t>ל ע י ל ו י   נ ש מ ת</w:t>
                  </w:r>
                </w:p>
              </w:tc>
              <w:tc>
                <w:tcPr>
                  <w:tcW w:w="2558" w:type="dxa"/>
                  <w:gridSpan w:val="7"/>
                  <w:vAlign w:val="center"/>
                </w:tcPr>
                <w:p w14:paraId="7D82C793" w14:textId="1E5D4203" w:rsidR="0024401E" w:rsidRPr="00A6414A" w:rsidRDefault="0024401E" w:rsidP="002D608A">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69522DFE" w14:textId="2E2FD92C" w:rsidR="0024401E" w:rsidRPr="00A6414A" w:rsidRDefault="0024401E" w:rsidP="002D608A">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81" w:type="dxa"/>
                  <w:gridSpan w:val="10"/>
                  <w:vAlign w:val="center"/>
                </w:tcPr>
                <w:p w14:paraId="02342480" w14:textId="67B22375" w:rsidR="0024401E" w:rsidRPr="00A6414A" w:rsidRDefault="0024401E" w:rsidP="002D608A">
                  <w:pPr>
                    <w:keepNext/>
                    <w:keepLines/>
                    <w:ind w:right="284"/>
                    <w:contextualSpacing/>
                    <w:jc w:val="center"/>
                    <w:outlineLvl w:val="0"/>
                    <w:rPr>
                      <w:rFonts w:ascii="David" w:hAnsi="David" w:cs="David"/>
                      <w:b/>
                      <w:bCs/>
                      <w:color w:val="2E74B5"/>
                      <w:sz w:val="32"/>
                      <w:szCs w:val="32"/>
                      <w:rtl/>
                    </w:rPr>
                  </w:pPr>
                  <w:proofErr w:type="spellStart"/>
                  <w:r w:rsidRPr="003457B3">
                    <w:rPr>
                      <w:rFonts w:ascii="David" w:eastAsia="Calibri" w:hAnsi="David" w:cs="David"/>
                      <w:color w:val="0070C0"/>
                      <w:sz w:val="20"/>
                      <w:szCs w:val="20"/>
                      <w:rtl/>
                    </w:rPr>
                    <w:t>לע"נ</w:t>
                  </w:r>
                  <w:proofErr w:type="spellEnd"/>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A6414A" w:rsidRPr="00A6414A" w14:paraId="190439C6" w14:textId="77777777" w:rsidTr="00A6414A">
              <w:trPr>
                <w:trHeight w:val="273"/>
              </w:trPr>
              <w:tc>
                <w:tcPr>
                  <w:tcW w:w="1824" w:type="dxa"/>
                  <w:tcMar>
                    <w:top w:w="0" w:type="dxa"/>
                    <w:left w:w="108" w:type="dxa"/>
                    <w:bottom w:w="0" w:type="dxa"/>
                    <w:right w:w="108" w:type="dxa"/>
                  </w:tcMar>
                  <w:vAlign w:val="center"/>
                </w:tcPr>
                <w:p w14:paraId="45249B57" w14:textId="77777777" w:rsidR="00A6414A" w:rsidRPr="00A6414A" w:rsidRDefault="00A6414A" w:rsidP="002D608A">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28684242"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1836" w:type="dxa"/>
                  <w:gridSpan w:val="4"/>
                  <w:vAlign w:val="center"/>
                </w:tcPr>
                <w:p w14:paraId="42C295CC" w14:textId="6678D7A4" w:rsidR="00A6414A" w:rsidRPr="00A6414A" w:rsidRDefault="00A6414A" w:rsidP="002D608A">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ישראל אהרוני</w:t>
                  </w:r>
                </w:p>
                <w:p w14:paraId="3DF99950"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p>
              </w:tc>
              <w:tc>
                <w:tcPr>
                  <w:tcW w:w="1701" w:type="dxa"/>
                  <w:gridSpan w:val="6"/>
                  <w:vAlign w:val="center"/>
                </w:tcPr>
                <w:p w14:paraId="2B7B629D" w14:textId="77777777" w:rsidR="00A6414A" w:rsidRPr="00A6414A" w:rsidRDefault="00A6414A" w:rsidP="002D608A">
                  <w:pPr>
                    <w:ind w:left="6"/>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782DEA1"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842" w:type="dxa"/>
                  <w:gridSpan w:val="4"/>
                  <w:vAlign w:val="center"/>
                </w:tcPr>
                <w:p w14:paraId="32A385CE"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650F5F8"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701" w:type="dxa"/>
                  <w:gridSpan w:val="5"/>
                  <w:vAlign w:val="center"/>
                </w:tcPr>
                <w:p w14:paraId="2AF90589"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2E561576" w14:textId="77777777" w:rsidR="00A6414A" w:rsidRPr="00A6414A" w:rsidRDefault="00A6414A" w:rsidP="002D608A">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2139" w:type="dxa"/>
                  <w:gridSpan w:val="3"/>
                  <w:vAlign w:val="center"/>
                </w:tcPr>
                <w:p w14:paraId="37822EA7"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18448DE5"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A6414A" w:rsidRPr="00A6414A" w14:paraId="215A10DC" w14:textId="77777777" w:rsidTr="00EF7EBB">
              <w:trPr>
                <w:trHeight w:val="427"/>
              </w:trPr>
              <w:tc>
                <w:tcPr>
                  <w:tcW w:w="2249" w:type="dxa"/>
                  <w:gridSpan w:val="3"/>
                  <w:tcMar>
                    <w:top w:w="0" w:type="dxa"/>
                    <w:left w:w="108" w:type="dxa"/>
                    <w:bottom w:w="0" w:type="dxa"/>
                    <w:right w:w="108" w:type="dxa"/>
                  </w:tcMar>
                  <w:vAlign w:val="center"/>
                  <w:hideMark/>
                </w:tcPr>
                <w:p w14:paraId="52292184" w14:textId="77777777" w:rsidR="00A6414A" w:rsidRPr="00A6414A" w:rsidRDefault="00A6414A" w:rsidP="002D608A">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0EF7B4D3"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28" w:type="dxa"/>
                  <w:gridSpan w:val="5"/>
                  <w:vAlign w:val="center"/>
                </w:tcPr>
                <w:p w14:paraId="3CE524EA" w14:textId="617A2E70" w:rsidR="00EF7EBB" w:rsidRPr="00A6414A" w:rsidRDefault="00EF7EBB" w:rsidP="00EF7EBB">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7BCEB51D" w14:textId="3DC6085D" w:rsidR="00A6414A" w:rsidRPr="00A6414A" w:rsidRDefault="00EF7EBB" w:rsidP="00EF7EBB">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1" w:type="dxa"/>
                  <w:gridSpan w:val="8"/>
                  <w:vAlign w:val="center"/>
                  <w:hideMark/>
                </w:tcPr>
                <w:p w14:paraId="4407092E" w14:textId="77777777" w:rsidR="00A6414A" w:rsidRPr="00A6414A" w:rsidRDefault="00A6414A" w:rsidP="002D608A">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CF7F610"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5" w:type="dxa"/>
                  <w:gridSpan w:val="7"/>
                  <w:tcMar>
                    <w:top w:w="0" w:type="dxa"/>
                    <w:left w:w="108" w:type="dxa"/>
                    <w:bottom w:w="0" w:type="dxa"/>
                    <w:right w:w="108" w:type="dxa"/>
                  </w:tcMar>
                  <w:vAlign w:val="center"/>
                </w:tcPr>
                <w:p w14:paraId="2FA7A12D" w14:textId="77777777" w:rsidR="00A6414A" w:rsidRPr="00A6414A" w:rsidRDefault="00A6414A" w:rsidP="002D608A">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4CDEFB43"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A6414A" w:rsidRPr="00A6414A" w14:paraId="4AE08A2A" w14:textId="77777777" w:rsidTr="00EF7EBB">
              <w:trPr>
                <w:trHeight w:val="431"/>
              </w:trPr>
              <w:tc>
                <w:tcPr>
                  <w:tcW w:w="2107" w:type="dxa"/>
                  <w:gridSpan w:val="2"/>
                  <w:tcMar>
                    <w:top w:w="0" w:type="dxa"/>
                    <w:left w:w="108" w:type="dxa"/>
                    <w:bottom w:w="0" w:type="dxa"/>
                    <w:right w:w="108" w:type="dxa"/>
                  </w:tcMar>
                  <w:vAlign w:val="center"/>
                </w:tcPr>
                <w:p w14:paraId="17458165" w14:textId="58A68483"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081BF61" w14:textId="5B3ADD8B" w:rsidR="00A6414A" w:rsidRPr="00A6414A" w:rsidRDefault="00EF7EBB" w:rsidP="002D608A">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00A6414A" w:rsidRPr="00A6414A">
                    <w:rPr>
                      <w:rFonts w:ascii="David" w:eastAsia="Calibri" w:hAnsi="David" w:cs="David"/>
                      <w:color w:val="000000"/>
                      <w:sz w:val="19"/>
                      <w:szCs w:val="19"/>
                      <w:rtl/>
                    </w:rPr>
                    <w:t xml:space="preserve">בכסלו / </w:t>
                  </w:r>
                  <w:r w:rsidRPr="00A6414A">
                    <w:rPr>
                      <w:rFonts w:ascii="David" w:eastAsia="Calibri" w:hAnsi="David" w:cs="David"/>
                      <w:color w:val="000000"/>
                      <w:sz w:val="19"/>
                      <w:szCs w:val="19"/>
                      <w:rtl/>
                    </w:rPr>
                    <w:t xml:space="preserve">ט"ז </w:t>
                  </w:r>
                  <w:r w:rsidR="00A6414A" w:rsidRPr="00A6414A">
                    <w:rPr>
                      <w:rFonts w:ascii="David" w:eastAsia="Calibri" w:hAnsi="David" w:cs="David"/>
                      <w:color w:val="000000"/>
                      <w:sz w:val="19"/>
                      <w:szCs w:val="19"/>
                      <w:rtl/>
                    </w:rPr>
                    <w:t xml:space="preserve">אלול </w:t>
                  </w:r>
                </w:p>
              </w:tc>
              <w:tc>
                <w:tcPr>
                  <w:tcW w:w="1843" w:type="dxa"/>
                  <w:gridSpan w:val="5"/>
                  <w:vAlign w:val="center"/>
                </w:tcPr>
                <w:p w14:paraId="6C97D536"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17DB64D1"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5"/>
                  <w:tcMar>
                    <w:top w:w="0" w:type="dxa"/>
                    <w:left w:w="108" w:type="dxa"/>
                    <w:bottom w:w="0" w:type="dxa"/>
                    <w:right w:w="108" w:type="dxa"/>
                  </w:tcMar>
                  <w:vAlign w:val="center"/>
                </w:tcPr>
                <w:p w14:paraId="56B7647D" w14:textId="77777777" w:rsidR="00A6414A" w:rsidRPr="00A6414A" w:rsidRDefault="00A6414A" w:rsidP="002D608A">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549702F3"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5" w:type="dxa"/>
                  <w:gridSpan w:val="6"/>
                  <w:vAlign w:val="center"/>
                </w:tcPr>
                <w:p w14:paraId="40590190" w14:textId="77777777" w:rsidR="00A6414A" w:rsidRPr="00A6414A" w:rsidRDefault="00A6414A" w:rsidP="002D608A">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19DD09F" w14:textId="77777777" w:rsidR="00A6414A" w:rsidRPr="00A6414A" w:rsidRDefault="00A6414A" w:rsidP="002D608A">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0" w:type="dxa"/>
                  <w:gridSpan w:val="5"/>
                  <w:tcMar>
                    <w:top w:w="0" w:type="dxa"/>
                    <w:left w:w="108" w:type="dxa"/>
                    <w:bottom w:w="0" w:type="dxa"/>
                    <w:right w:w="108" w:type="dxa"/>
                  </w:tcMar>
                  <w:vAlign w:val="center"/>
                </w:tcPr>
                <w:p w14:paraId="0E593F67"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10E20B84"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A6414A" w:rsidRPr="00A6414A" w14:paraId="0A93FF98" w14:textId="77777777" w:rsidTr="00EF7EBB">
              <w:trPr>
                <w:trHeight w:val="453"/>
              </w:trPr>
              <w:tc>
                <w:tcPr>
                  <w:tcW w:w="2958" w:type="dxa"/>
                  <w:gridSpan w:val="4"/>
                  <w:vAlign w:val="center"/>
                  <w:hideMark/>
                </w:tcPr>
                <w:p w14:paraId="2321447A" w14:textId="2CC0C51F" w:rsidR="00A6414A" w:rsidRPr="00A6414A" w:rsidRDefault="00A6414A" w:rsidP="002D608A">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4E4CC048" w14:textId="77777777" w:rsidR="00A6414A" w:rsidRPr="00A6414A" w:rsidRDefault="00A6414A" w:rsidP="002D608A">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71795A54" w14:textId="15AF5624" w:rsidR="00A6414A" w:rsidRPr="00A6414A" w:rsidRDefault="00A6414A" w:rsidP="002D608A">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578B2FFE" w14:textId="77777777" w:rsidR="00A6414A" w:rsidRPr="00A6414A" w:rsidRDefault="00A6414A" w:rsidP="002D608A">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7" w:type="dxa"/>
                  <w:gridSpan w:val="7"/>
                  <w:tcMar>
                    <w:top w:w="0" w:type="dxa"/>
                    <w:left w:w="108" w:type="dxa"/>
                    <w:bottom w:w="0" w:type="dxa"/>
                    <w:right w:w="108" w:type="dxa"/>
                  </w:tcMar>
                  <w:vAlign w:val="center"/>
                </w:tcPr>
                <w:p w14:paraId="11BCF745" w14:textId="77777777" w:rsidR="00A6414A" w:rsidRPr="00A6414A" w:rsidRDefault="00A6414A" w:rsidP="002D608A">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1966DD4C" w14:textId="77777777" w:rsidR="00A6414A" w:rsidRPr="00A6414A" w:rsidRDefault="00A6414A" w:rsidP="002D608A">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82" w:type="dxa"/>
                  <w:gridSpan w:val="6"/>
                  <w:vAlign w:val="center"/>
                </w:tcPr>
                <w:p w14:paraId="75BDAC98" w14:textId="77777777" w:rsidR="004F0AE5" w:rsidRPr="004F0AE5" w:rsidRDefault="004F0AE5" w:rsidP="002D608A">
                  <w:pPr>
                    <w:ind w:left="59" w:right="72"/>
                    <w:contextualSpacing/>
                    <w:jc w:val="center"/>
                    <w:rPr>
                      <w:rFonts w:ascii="Arial" w:hAnsi="Arial" w:cs="David"/>
                      <w:sz w:val="19"/>
                      <w:szCs w:val="19"/>
                      <w:rtl/>
                    </w:rPr>
                  </w:pPr>
                  <w:r w:rsidRPr="004F0AE5">
                    <w:rPr>
                      <w:rFonts w:ascii="David" w:eastAsia="Calibri" w:hAnsi="David" w:cs="David"/>
                      <w:b/>
                      <w:bCs/>
                      <w:color w:val="002060"/>
                      <w:sz w:val="19"/>
                      <w:szCs w:val="19"/>
                      <w:rtl/>
                    </w:rPr>
                    <w:t>צפורה</w:t>
                  </w:r>
                  <w:r w:rsidRPr="004F0AE5">
                    <w:rPr>
                      <w:rFonts w:ascii="David" w:eastAsia="Calibri" w:hAnsi="David" w:cs="David"/>
                      <w:color w:val="000000"/>
                      <w:sz w:val="19"/>
                      <w:szCs w:val="19"/>
                      <w:rtl/>
                    </w:rPr>
                    <w:t xml:space="preserve"> </w:t>
                  </w:r>
                  <w:r w:rsidRPr="004F0AE5">
                    <w:rPr>
                      <w:rFonts w:ascii="Arial" w:hAnsi="Arial" w:cs="David"/>
                      <w:sz w:val="19"/>
                      <w:szCs w:val="19"/>
                      <w:rtl/>
                    </w:rPr>
                    <w:t xml:space="preserve">בת </w:t>
                  </w:r>
                  <w:r w:rsidRPr="004F0AE5">
                    <w:rPr>
                      <w:rFonts w:ascii="David" w:eastAsia="Calibri" w:hAnsi="David" w:cs="David"/>
                      <w:b/>
                      <w:bCs/>
                      <w:color w:val="002060"/>
                      <w:sz w:val="19"/>
                      <w:szCs w:val="19"/>
                      <w:rtl/>
                    </w:rPr>
                    <w:t xml:space="preserve">יונה </w:t>
                  </w:r>
                  <w:proofErr w:type="spellStart"/>
                  <w:r w:rsidRPr="004F0AE5">
                    <w:rPr>
                      <w:rFonts w:ascii="David" w:eastAsia="Calibri" w:hAnsi="David" w:cs="David"/>
                      <w:b/>
                      <w:bCs/>
                      <w:color w:val="002060"/>
                      <w:sz w:val="19"/>
                      <w:szCs w:val="19"/>
                      <w:rtl/>
                    </w:rPr>
                    <w:t>דונייר</w:t>
                  </w:r>
                  <w:proofErr w:type="spellEnd"/>
                  <w:r w:rsidRPr="004F0AE5">
                    <w:rPr>
                      <w:rFonts w:ascii="Arial" w:hAnsi="Arial" w:cs="David"/>
                      <w:sz w:val="19"/>
                      <w:szCs w:val="19"/>
                      <w:rtl/>
                    </w:rPr>
                    <w:t xml:space="preserve"> ע"ה</w:t>
                  </w:r>
                </w:p>
                <w:p w14:paraId="4E43655A" w14:textId="6A61E9CF" w:rsidR="00A6414A" w:rsidRPr="004F0AE5" w:rsidRDefault="004F0AE5" w:rsidP="002D608A">
                  <w:pPr>
                    <w:ind w:left="59" w:right="72"/>
                    <w:contextualSpacing/>
                    <w:jc w:val="center"/>
                    <w:rPr>
                      <w:rFonts w:ascii="Arial" w:hAnsi="Arial" w:cs="David"/>
                      <w:sz w:val="19"/>
                      <w:szCs w:val="19"/>
                      <w:rtl/>
                    </w:rPr>
                  </w:pPr>
                  <w:r w:rsidRPr="004F0AE5">
                    <w:rPr>
                      <w:rFonts w:ascii="David" w:eastAsia="Calibri" w:hAnsi="David" w:cs="David"/>
                      <w:color w:val="000000"/>
                      <w:sz w:val="19"/>
                      <w:szCs w:val="19"/>
                      <w:rtl/>
                    </w:rPr>
                    <w:t>נלב"ע י"ב אדר א'</w:t>
                  </w:r>
                </w:p>
              </w:tc>
            </w:tr>
            <w:tr w:rsidR="00A6414A" w:rsidRPr="00A6414A" w14:paraId="571F8A5B" w14:textId="77777777" w:rsidTr="00EF7EBB">
              <w:trPr>
                <w:trHeight w:val="404"/>
              </w:trPr>
              <w:tc>
                <w:tcPr>
                  <w:tcW w:w="2109" w:type="dxa"/>
                  <w:gridSpan w:val="2"/>
                  <w:vAlign w:val="center"/>
                </w:tcPr>
                <w:p w14:paraId="6AC13226" w14:textId="4B604FD4" w:rsidR="00A6414A" w:rsidRPr="00A6414A" w:rsidRDefault="00A6414A" w:rsidP="002D608A">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10ADC408" w14:textId="77777777" w:rsidR="00A6414A" w:rsidRPr="00A6414A" w:rsidRDefault="00A6414A" w:rsidP="002D608A">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2552" w:type="dxa"/>
                  <w:gridSpan w:val="7"/>
                  <w:vAlign w:val="center"/>
                </w:tcPr>
                <w:p w14:paraId="754633C8" w14:textId="7C549191" w:rsidR="00A6414A" w:rsidRPr="00A6414A" w:rsidRDefault="00C574A9" w:rsidP="002D608A">
                  <w:pPr>
                    <w:ind w:left="26" w:right="41"/>
                    <w:contextualSpacing/>
                    <w:jc w:val="center"/>
                    <w:rPr>
                      <w:rFonts w:ascii="David" w:eastAsia="Calibri" w:hAnsi="David" w:cs="David"/>
                      <w:color w:val="002060"/>
                      <w:sz w:val="19"/>
                      <w:szCs w:val="19"/>
                      <w:rtl/>
                    </w:rPr>
                  </w:pPr>
                  <w:r w:rsidRPr="007D558E">
                    <w:rPr>
                      <w:rFonts w:ascii="David" w:hAnsi="David" w:cs="David"/>
                      <w:noProof/>
                      <w:sz w:val="8"/>
                      <w:szCs w:val="8"/>
                      <w:rtl/>
                    </w:rPr>
                    <w:drawing>
                      <wp:anchor distT="0" distB="0" distL="114300" distR="114300" simplePos="0" relativeHeight="252003328" behindDoc="1" locked="0" layoutInCell="1" allowOverlap="1" wp14:anchorId="13784850" wp14:editId="0F959F56">
                        <wp:simplePos x="0" y="0"/>
                        <wp:positionH relativeFrom="margin">
                          <wp:posOffset>-4278630</wp:posOffset>
                        </wp:positionH>
                        <wp:positionV relativeFrom="paragraph">
                          <wp:posOffset>-1626870</wp:posOffset>
                        </wp:positionV>
                        <wp:extent cx="7434580" cy="2186305"/>
                        <wp:effectExtent l="0" t="0" r="0" b="4445"/>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34580" cy="2186305"/>
                                </a:xfrm>
                                <a:prstGeom prst="rect">
                                  <a:avLst/>
                                </a:prstGeom>
                                <a:noFill/>
                              </pic:spPr>
                            </pic:pic>
                          </a:graphicData>
                        </a:graphic>
                        <wp14:sizeRelH relativeFrom="page">
                          <wp14:pctWidth>0</wp14:pctWidth>
                        </wp14:sizeRelH>
                        <wp14:sizeRelV relativeFrom="page">
                          <wp14:pctHeight>0</wp14:pctHeight>
                        </wp14:sizeRelV>
                      </wp:anchor>
                    </w:drawing>
                  </w:r>
                  <w:r w:rsidR="00A6414A" w:rsidRPr="00A6414A">
                    <w:rPr>
                      <w:rFonts w:ascii="David" w:eastAsia="Calibri" w:hAnsi="David" w:cs="David" w:hint="cs"/>
                      <w:sz w:val="19"/>
                      <w:szCs w:val="19"/>
                      <w:rtl/>
                    </w:rPr>
                    <w:t xml:space="preserve">גב' </w:t>
                  </w:r>
                  <w:r w:rsidR="00A6414A" w:rsidRPr="00A6414A">
                    <w:rPr>
                      <w:rFonts w:ascii="David" w:eastAsia="Calibri" w:hAnsi="David" w:cs="David" w:hint="cs"/>
                      <w:b/>
                      <w:bCs/>
                      <w:color w:val="002060"/>
                      <w:sz w:val="19"/>
                      <w:szCs w:val="19"/>
                      <w:rtl/>
                    </w:rPr>
                    <w:t xml:space="preserve">מירה </w:t>
                  </w:r>
                  <w:proofErr w:type="spellStart"/>
                  <w:r w:rsidR="00A6414A" w:rsidRPr="00A6414A">
                    <w:rPr>
                      <w:rFonts w:ascii="David" w:eastAsia="Calibri" w:hAnsi="David" w:cs="David" w:hint="cs"/>
                      <w:b/>
                      <w:bCs/>
                      <w:color w:val="002060"/>
                      <w:sz w:val="19"/>
                      <w:szCs w:val="19"/>
                      <w:rtl/>
                    </w:rPr>
                    <w:t>קושיצקי</w:t>
                  </w:r>
                  <w:proofErr w:type="spellEnd"/>
                </w:p>
                <w:p w14:paraId="213D676F" w14:textId="77777777" w:rsidR="00A6414A" w:rsidRPr="00A6414A" w:rsidRDefault="00A6414A" w:rsidP="002D608A">
                  <w:pPr>
                    <w:ind w:left="59" w:hanging="32"/>
                    <w:contextualSpacing/>
                    <w:jc w:val="center"/>
                    <w:rPr>
                      <w:rFonts w:ascii="David" w:eastAsia="Calibri" w:hAnsi="David" w:cs="David"/>
                      <w:color w:val="000000"/>
                      <w:sz w:val="19"/>
                      <w:szCs w:val="19"/>
                      <w:rtl/>
                    </w:rPr>
                  </w:pPr>
                  <w:r w:rsidRPr="00A6414A">
                    <w:rPr>
                      <w:rFonts w:ascii="David" w:eastAsia="Calibri" w:hAnsi="David" w:cs="David"/>
                      <w:sz w:val="19"/>
                      <w:szCs w:val="19"/>
                      <w:rtl/>
                    </w:rPr>
                    <w:t xml:space="preserve">נלב"ע </w:t>
                  </w:r>
                  <w:r w:rsidRPr="00A6414A">
                    <w:rPr>
                      <w:rFonts w:ascii="David" w:eastAsia="Calibri" w:hAnsi="David" w:cs="David" w:hint="cs"/>
                      <w:sz w:val="19"/>
                      <w:szCs w:val="19"/>
                      <w:rtl/>
                    </w:rPr>
                    <w:t>כ"ב בסיון תשפ"ג</w:t>
                  </w:r>
                </w:p>
              </w:tc>
              <w:tc>
                <w:tcPr>
                  <w:tcW w:w="1984" w:type="dxa"/>
                  <w:gridSpan w:val="5"/>
                  <w:vAlign w:val="center"/>
                </w:tcPr>
                <w:p w14:paraId="4BB5D6D4" w14:textId="77777777" w:rsidR="00A6414A" w:rsidRPr="00A6414A" w:rsidRDefault="00A6414A" w:rsidP="002D608A">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19FF6420" w14:textId="77777777" w:rsidR="00A6414A" w:rsidRPr="00A6414A" w:rsidRDefault="00A6414A" w:rsidP="002D608A">
                  <w:pPr>
                    <w:ind w:left="59" w:right="72"/>
                    <w:contextualSpacing/>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985" w:type="dxa"/>
                  <w:gridSpan w:val="5"/>
                  <w:vAlign w:val="center"/>
                </w:tcPr>
                <w:p w14:paraId="75B0E2AF" w14:textId="77777777" w:rsidR="00A6414A" w:rsidRPr="00A6414A" w:rsidRDefault="00A6414A" w:rsidP="002D608A">
                  <w:pPr>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מרת </w:t>
                  </w:r>
                  <w:r w:rsidRPr="00A6414A">
                    <w:rPr>
                      <w:rFonts w:ascii="David" w:eastAsia="Calibri" w:hAnsi="David" w:cs="David"/>
                      <w:b/>
                      <w:bCs/>
                      <w:color w:val="002060"/>
                      <w:sz w:val="19"/>
                      <w:szCs w:val="19"/>
                      <w:rtl/>
                    </w:rPr>
                    <w:t>לאה מאיר</w:t>
                  </w:r>
                </w:p>
                <w:p w14:paraId="1DF54338"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כ"ז בניסן תשפ"ב</w:t>
                  </w:r>
                </w:p>
              </w:tc>
              <w:tc>
                <w:tcPr>
                  <w:tcW w:w="1984" w:type="dxa"/>
                  <w:gridSpan w:val="2"/>
                  <w:vAlign w:val="center"/>
                </w:tcPr>
                <w:p w14:paraId="652087B2" w14:textId="77777777" w:rsidR="00A6414A" w:rsidRPr="00A6414A" w:rsidRDefault="00A6414A" w:rsidP="002D608A">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C029507" w14:textId="77777777" w:rsidR="00A6414A" w:rsidRPr="00A6414A" w:rsidRDefault="00A6414A" w:rsidP="002D608A">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vAlign w:val="center"/>
                </w:tcPr>
                <w:p w14:paraId="1C717906" w14:textId="17AEE8F9" w:rsidR="00A6414A" w:rsidRPr="00A6414A" w:rsidRDefault="00A6414A" w:rsidP="002D608A">
                  <w:pPr>
                    <w:ind w:left="26" w:right="41"/>
                    <w:contextualSpacing/>
                    <w:jc w:val="center"/>
                    <w:rPr>
                      <w:rFonts w:ascii="David" w:eastAsia="Calibri" w:hAnsi="David" w:cs="David"/>
                      <w:color w:val="002060"/>
                      <w:sz w:val="19"/>
                      <w:szCs w:val="19"/>
                      <w:rtl/>
                    </w:rPr>
                  </w:pPr>
                </w:p>
              </w:tc>
              <w:tc>
                <w:tcPr>
                  <w:tcW w:w="281" w:type="dxa"/>
                  <w:vAlign w:val="center"/>
                </w:tcPr>
                <w:p w14:paraId="483C94A6" w14:textId="77777777" w:rsidR="00A6414A" w:rsidRPr="00A6414A" w:rsidRDefault="00A6414A" w:rsidP="002D608A">
                  <w:pPr>
                    <w:ind w:right="-57"/>
                    <w:contextualSpacing/>
                    <w:jc w:val="center"/>
                    <w:rPr>
                      <w:sz w:val="19"/>
                      <w:szCs w:val="19"/>
                      <w:rtl/>
                    </w:rPr>
                  </w:pPr>
                </w:p>
              </w:tc>
            </w:tr>
            <w:bookmarkEnd w:id="2"/>
          </w:tbl>
          <w:p w14:paraId="0F365956" w14:textId="0F42AEC9" w:rsidR="00E8510C" w:rsidRPr="00451315" w:rsidRDefault="00E8510C" w:rsidP="002D608A">
            <w:pPr>
              <w:contextualSpacing/>
              <w:rPr>
                <w:rFonts w:ascii="David" w:hAnsi="David" w:cs="David"/>
                <w:sz w:val="18"/>
                <w:szCs w:val="18"/>
                <w:rtl/>
              </w:rPr>
            </w:pPr>
          </w:p>
        </w:tc>
      </w:tr>
    </w:tbl>
    <w:p w14:paraId="00C2CE97" w14:textId="6FDFEB58" w:rsidR="00B275CF" w:rsidRPr="007D558E" w:rsidRDefault="00B275CF" w:rsidP="002D608A">
      <w:pPr>
        <w:contextualSpacing/>
        <w:rPr>
          <w:rFonts w:ascii="Arial" w:eastAsia="Calibri" w:hAnsi="Arial" w:cs="Arial"/>
          <w:b/>
          <w:bCs/>
          <w:color w:val="C00000"/>
          <w:sz w:val="8"/>
          <w:szCs w:val="8"/>
          <w:rtl/>
        </w:rPr>
      </w:pPr>
    </w:p>
    <w:p w14:paraId="4D640159" w14:textId="77777777" w:rsidR="007B7A4E" w:rsidRPr="00F0380B" w:rsidRDefault="007B7A4E" w:rsidP="002D608A">
      <w:pPr>
        <w:contextualSpacing/>
        <w:jc w:val="center"/>
        <w:rPr>
          <w:rFonts w:ascii="Arial" w:eastAsia="Calibri" w:hAnsi="Arial" w:cs="Arial"/>
          <w:b/>
          <w:bCs/>
          <w:color w:val="C00000"/>
          <w:sz w:val="10"/>
          <w:szCs w:val="10"/>
          <w:rtl/>
        </w:rPr>
      </w:pPr>
    </w:p>
    <w:p w14:paraId="76CE7F84" w14:textId="77777777" w:rsidR="008E0024" w:rsidRPr="00C53C9A" w:rsidRDefault="008E0024" w:rsidP="002D608A">
      <w:pPr>
        <w:contextualSpacing/>
        <w:jc w:val="center"/>
        <w:rPr>
          <w:rFonts w:ascii="Arial" w:eastAsia="Calibri" w:hAnsi="Arial" w:cs="Arial"/>
          <w:b/>
          <w:bCs/>
          <w:color w:val="C00000"/>
          <w:sz w:val="6"/>
          <w:szCs w:val="6"/>
          <w:rtl/>
        </w:rPr>
      </w:pPr>
    </w:p>
    <w:p w14:paraId="2E94EE8C" w14:textId="1B1103E1" w:rsidR="007E4421" w:rsidRDefault="007E4421" w:rsidP="002D608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62E964C8" w:rsidR="007E4421" w:rsidRPr="00202D99" w:rsidRDefault="007E4421" w:rsidP="002D608A">
      <w:pPr>
        <w:contextualSpacing/>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0237C24E" w14:textId="1D73BCD1" w:rsidR="009D10EF" w:rsidRDefault="00252659" w:rsidP="009D10EF">
      <w:pPr>
        <w:contextualSpacing/>
        <w:jc w:val="center"/>
        <w:rPr>
          <w:rFonts w:ascii="FrankRuehl" w:eastAsia="Calibri" w:hAnsi="FrankRuehl" w:cs="FrankRuehl"/>
          <w:color w:val="0070C0"/>
          <w:sz w:val="16"/>
          <w:szCs w:val="16"/>
          <w:u w:val="single"/>
          <w:rtl/>
        </w:rPr>
      </w:pPr>
      <w:hyperlink r:id="rId13" w:history="1">
        <w:r w:rsidR="00C574A9" w:rsidRPr="00612829">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4" w:history="1">
        <w:r w:rsidR="007E4421" w:rsidRPr="00F52A2A">
          <w:rPr>
            <w:rFonts w:ascii="FrankRuehl" w:eastAsia="Calibri" w:hAnsi="FrankRuehl" w:cs="FrankRuehl"/>
            <w:color w:val="0070C0"/>
            <w:sz w:val="16"/>
            <w:szCs w:val="16"/>
            <w:u w:val="single"/>
          </w:rPr>
          <w:t>WWW.ERETZHEMDAH.ORG</w:t>
        </w:r>
      </w:hyperlink>
    </w:p>
    <w:p w14:paraId="00216C5B" w14:textId="4E81CEA7" w:rsidR="009D10EF" w:rsidRDefault="003D51B7" w:rsidP="003D51B7">
      <w:pPr>
        <w:contextualSpacing/>
        <w:rPr>
          <w:rFonts w:ascii="Calibri" w:eastAsia="Calibri" w:hAnsi="Calibri" w:cs="David"/>
          <w:b/>
          <w:bCs/>
          <w:sz w:val="28"/>
          <w:szCs w:val="28"/>
          <w:rtl/>
        </w:rPr>
      </w:pPr>
      <w:r>
        <w:rPr>
          <w:noProof/>
        </w:rPr>
        <w:lastRenderedPageBreak/>
        <w:drawing>
          <wp:anchor distT="0" distB="0" distL="114300" distR="114300" simplePos="0" relativeHeight="252044288" behindDoc="1" locked="0" layoutInCell="1" allowOverlap="1" wp14:anchorId="68F93BE1" wp14:editId="4A6378D7">
            <wp:simplePos x="0" y="0"/>
            <wp:positionH relativeFrom="column">
              <wp:posOffset>4240530</wp:posOffset>
            </wp:positionH>
            <wp:positionV relativeFrom="paragraph">
              <wp:posOffset>-109220</wp:posOffset>
            </wp:positionV>
            <wp:extent cx="2781300" cy="525780"/>
            <wp:effectExtent l="0" t="0" r="0" b="7620"/>
            <wp:wrapNone/>
            <wp:docPr id="13"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81300" cy="525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6EEB18" w14:textId="77777777" w:rsidR="003D51B7" w:rsidRDefault="003D51B7" w:rsidP="009D10EF">
      <w:pPr>
        <w:contextualSpacing/>
        <w:rPr>
          <w:rFonts w:ascii="Calibri" w:eastAsia="Calibri" w:hAnsi="Calibri" w:cs="David"/>
          <w:b/>
          <w:bCs/>
          <w:sz w:val="28"/>
          <w:szCs w:val="28"/>
          <w:rtl/>
        </w:rPr>
      </w:pPr>
    </w:p>
    <w:p w14:paraId="53EBF9B3" w14:textId="77777777" w:rsidR="003D51B7" w:rsidRPr="00D25B8B" w:rsidRDefault="003D51B7" w:rsidP="009D10EF">
      <w:pPr>
        <w:contextualSpacing/>
        <w:rPr>
          <w:rFonts w:ascii="Calibri" w:eastAsia="Calibri" w:hAnsi="Calibri" w:cs="David"/>
          <w:sz w:val="10"/>
          <w:szCs w:val="10"/>
          <w:rtl/>
        </w:rPr>
      </w:pPr>
    </w:p>
    <w:p w14:paraId="7A42E887" w14:textId="2C3DA4E7" w:rsidR="003A385E" w:rsidRPr="009D10EF" w:rsidRDefault="003A385E" w:rsidP="009D10EF">
      <w:pPr>
        <w:contextualSpacing/>
        <w:rPr>
          <w:rFonts w:ascii="Calibri" w:eastAsia="Calibri" w:hAnsi="Calibri" w:cs="David"/>
          <w:b/>
          <w:bCs/>
          <w:sz w:val="28"/>
          <w:szCs w:val="28"/>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w:t>
      </w:r>
    </w:p>
    <w:p w14:paraId="1730FDC2" w14:textId="77777777" w:rsidR="00662474" w:rsidRPr="00A874A6" w:rsidRDefault="00662474" w:rsidP="002D608A">
      <w:pPr>
        <w:ind w:left="-2"/>
        <w:contextualSpacing/>
        <w:rPr>
          <w:rFonts w:ascii="David" w:eastAsia="Calibri" w:hAnsi="David" w:cs="David"/>
          <w:sz w:val="8"/>
          <w:szCs w:val="8"/>
          <w:rtl/>
        </w:rPr>
      </w:pPr>
    </w:p>
    <w:p w14:paraId="67598DDA" w14:textId="56319299" w:rsidR="003A70F2" w:rsidRPr="005E3AFB" w:rsidRDefault="003A70F2" w:rsidP="005E3AFB">
      <w:pPr>
        <w:contextualSpacing/>
        <w:jc w:val="right"/>
        <w:rPr>
          <w:rFonts w:ascii="David" w:eastAsia="Calibri" w:hAnsi="David" w:cs="David"/>
          <w:b/>
          <w:bCs/>
          <w:color w:val="0070C0"/>
          <w:sz w:val="22"/>
          <w:szCs w:val="22"/>
          <w:rtl/>
        </w:rPr>
      </w:pPr>
      <w:proofErr w:type="spellStart"/>
      <w:r w:rsidRPr="005E3AFB">
        <w:rPr>
          <w:rFonts w:ascii="David" w:eastAsia="Calibri" w:hAnsi="David" w:cs="David" w:hint="cs"/>
          <w:b/>
          <w:bCs/>
          <w:color w:val="0070C0"/>
          <w:sz w:val="22"/>
          <w:szCs w:val="22"/>
          <w:rtl/>
        </w:rPr>
        <w:t>לע"נ</w:t>
      </w:r>
      <w:proofErr w:type="spellEnd"/>
      <w:r w:rsidRPr="005E3AFB">
        <w:rPr>
          <w:rFonts w:ascii="David" w:eastAsia="Calibri" w:hAnsi="David" w:cs="David" w:hint="cs"/>
          <w:b/>
          <w:bCs/>
          <w:color w:val="0070C0"/>
          <w:sz w:val="22"/>
          <w:szCs w:val="22"/>
          <w:rtl/>
        </w:rPr>
        <w:t xml:space="preserve"> מורנו הרב ארנרייך זצ"ל</w:t>
      </w:r>
      <w:r w:rsidR="00B42B24" w:rsidRPr="005E3AFB">
        <w:rPr>
          <w:rFonts w:ascii="David" w:eastAsia="Calibri" w:hAnsi="David" w:cs="David" w:hint="cs"/>
          <w:b/>
          <w:bCs/>
          <w:color w:val="0070C0"/>
          <w:sz w:val="22"/>
          <w:szCs w:val="22"/>
          <w:rtl/>
        </w:rPr>
        <w:t xml:space="preserve">, </w:t>
      </w:r>
      <w:r w:rsidRPr="005E3AFB">
        <w:rPr>
          <w:rFonts w:ascii="David" w:eastAsia="Calibri" w:hAnsi="David" w:cs="David" w:hint="cs"/>
          <w:b/>
          <w:bCs/>
          <w:color w:val="0070C0"/>
          <w:sz w:val="22"/>
          <w:szCs w:val="22"/>
          <w:rtl/>
        </w:rPr>
        <w:t xml:space="preserve">ממנו למדנו להרגיש את </w:t>
      </w:r>
      <w:proofErr w:type="spellStart"/>
      <w:r w:rsidRPr="005E3AFB">
        <w:rPr>
          <w:rFonts w:ascii="David" w:eastAsia="Calibri" w:hAnsi="David" w:cs="David" w:hint="cs"/>
          <w:b/>
          <w:bCs/>
          <w:color w:val="0070C0"/>
          <w:sz w:val="22"/>
          <w:szCs w:val="22"/>
          <w:rtl/>
        </w:rPr>
        <w:t>הסברא</w:t>
      </w:r>
      <w:proofErr w:type="spellEnd"/>
      <w:r w:rsidRPr="005E3AFB">
        <w:rPr>
          <w:rFonts w:ascii="David" w:eastAsia="Calibri" w:hAnsi="David" w:cs="David" w:hint="cs"/>
          <w:b/>
          <w:bCs/>
          <w:color w:val="0070C0"/>
          <w:sz w:val="22"/>
          <w:szCs w:val="22"/>
          <w:rtl/>
        </w:rPr>
        <w:t xml:space="preserve"> ולהתרגש מהבנת התורה</w:t>
      </w:r>
    </w:p>
    <w:p w14:paraId="09B9664C" w14:textId="77777777" w:rsidR="00612652" w:rsidRPr="00CF37F0" w:rsidRDefault="00612652" w:rsidP="002D608A">
      <w:pPr>
        <w:contextualSpacing/>
        <w:rPr>
          <w:rFonts w:ascii="David" w:eastAsia="Calibri" w:hAnsi="David" w:cs="David"/>
          <w:sz w:val="12"/>
          <w:szCs w:val="12"/>
          <w:rtl/>
        </w:rPr>
      </w:pPr>
    </w:p>
    <w:p w14:paraId="20CBEBEA" w14:textId="77777777" w:rsidR="00CD4F94" w:rsidRPr="00CD4F94" w:rsidRDefault="00CD4F94" w:rsidP="00CD4F94">
      <w:pPr>
        <w:keepNext/>
        <w:keepLines/>
        <w:contextualSpacing/>
        <w:outlineLvl w:val="0"/>
        <w:rPr>
          <w:rFonts w:ascii="David" w:hAnsi="David" w:cs="David"/>
          <w:b/>
          <w:bCs/>
          <w:color w:val="0070C0"/>
          <w:sz w:val="32"/>
          <w:szCs w:val="32"/>
          <w:rtl/>
        </w:rPr>
      </w:pPr>
      <w:r w:rsidRPr="00CD4F94">
        <w:rPr>
          <w:rFonts w:ascii="David" w:hAnsi="David" w:cs="David" w:hint="cs"/>
          <w:b/>
          <w:bCs/>
          <w:color w:val="0070C0"/>
          <w:sz w:val="32"/>
          <w:szCs w:val="32"/>
          <w:rtl/>
        </w:rPr>
        <w:t>ברכת 'שהחיינו' על פירות מיובאים</w:t>
      </w:r>
    </w:p>
    <w:p w14:paraId="4A262714" w14:textId="77777777" w:rsidR="00CD4F94" w:rsidRPr="00CD4F94" w:rsidRDefault="00CD4F94" w:rsidP="00CD4F94">
      <w:pPr>
        <w:contextualSpacing/>
        <w:rPr>
          <w:rFonts w:ascii="David" w:eastAsia="Calibri" w:hAnsi="David" w:cs="David"/>
          <w:sz w:val="16"/>
          <w:szCs w:val="16"/>
          <w:rtl/>
        </w:rPr>
      </w:pPr>
    </w:p>
    <w:p w14:paraId="34B61783" w14:textId="77777777" w:rsidR="00CD4F94" w:rsidRPr="00CD4F94" w:rsidRDefault="00CD4F94" w:rsidP="00252659">
      <w:pPr>
        <w:spacing w:line="276" w:lineRule="auto"/>
        <w:contextualSpacing/>
        <w:rPr>
          <w:rFonts w:ascii="David" w:eastAsia="Calibri" w:hAnsi="David" w:cs="David"/>
          <w:rtl/>
        </w:rPr>
      </w:pPr>
      <w:r w:rsidRPr="00CD4F94">
        <w:rPr>
          <w:rFonts w:ascii="David" w:eastAsia="Calibri" w:hAnsi="David" w:cs="David" w:hint="cs"/>
          <w:rtl/>
        </w:rPr>
        <w:t>בטור הקודם העמדנו את הבסיס של ברכת 'שהחיינו' על פירות המתחדשים מעונה לעונה על שני מוקדים:</w:t>
      </w:r>
    </w:p>
    <w:p w14:paraId="48B0CFFC" w14:textId="77777777" w:rsidR="00CD4F94" w:rsidRPr="00CD4F94" w:rsidRDefault="00CD4F94" w:rsidP="00252659">
      <w:pPr>
        <w:numPr>
          <w:ilvl w:val="0"/>
          <w:numId w:val="47"/>
        </w:numPr>
        <w:spacing w:line="276" w:lineRule="auto"/>
        <w:contextualSpacing/>
        <w:jc w:val="both"/>
        <w:rPr>
          <w:rFonts w:ascii="David" w:eastAsia="Calibri" w:hAnsi="David" w:cs="David"/>
        </w:rPr>
      </w:pPr>
      <w:r w:rsidRPr="00CD4F94">
        <w:rPr>
          <w:rFonts w:ascii="David" w:eastAsia="Calibri" w:hAnsi="David" w:cs="David" w:hint="cs"/>
          <w:rtl/>
        </w:rPr>
        <w:t>השמחה וההתרגשות מהפרי.</w:t>
      </w:r>
    </w:p>
    <w:p w14:paraId="4227D6C1" w14:textId="77777777" w:rsidR="00CD4F94" w:rsidRPr="00CD4F94" w:rsidRDefault="00CD4F94" w:rsidP="00252659">
      <w:pPr>
        <w:numPr>
          <w:ilvl w:val="0"/>
          <w:numId w:val="47"/>
        </w:numPr>
        <w:spacing w:line="276" w:lineRule="auto"/>
        <w:contextualSpacing/>
        <w:jc w:val="both"/>
        <w:rPr>
          <w:rFonts w:ascii="David" w:eastAsia="Calibri" w:hAnsi="David" w:cs="David"/>
          <w:rtl/>
        </w:rPr>
      </w:pPr>
      <w:r w:rsidRPr="00CD4F94">
        <w:rPr>
          <w:rFonts w:ascii="David" w:eastAsia="Calibri" w:hAnsi="David" w:cs="David" w:hint="cs"/>
          <w:rtl/>
        </w:rPr>
        <w:t>ברכה 'שהחיינו' שוב לעונה זו, 'לזמן הזה' (גם באפשרות הזאת יש מקום לדבר על התרגשות, ואכמ"ל).</w:t>
      </w:r>
    </w:p>
    <w:p w14:paraId="0D668CA6" w14:textId="77777777" w:rsidR="00CD4F94" w:rsidRPr="00CD4F94" w:rsidRDefault="00CD4F94" w:rsidP="00252659">
      <w:pPr>
        <w:spacing w:line="276" w:lineRule="auto"/>
        <w:contextualSpacing/>
        <w:rPr>
          <w:rFonts w:ascii="David" w:eastAsia="Calibri" w:hAnsi="David" w:cs="David"/>
          <w:sz w:val="16"/>
          <w:szCs w:val="16"/>
          <w:rtl/>
        </w:rPr>
      </w:pPr>
    </w:p>
    <w:p w14:paraId="322E6A50" w14:textId="77777777" w:rsidR="00CD4F94" w:rsidRPr="00CD4F94" w:rsidRDefault="00CD4F94" w:rsidP="00252659">
      <w:pPr>
        <w:spacing w:line="276" w:lineRule="auto"/>
        <w:contextualSpacing/>
        <w:rPr>
          <w:rFonts w:ascii="David" w:eastAsia="Calibri" w:hAnsi="David" w:cs="David"/>
          <w:rtl/>
        </w:rPr>
      </w:pPr>
      <w:r w:rsidRPr="00CD4F94">
        <w:rPr>
          <w:rFonts w:ascii="David" w:eastAsia="Calibri" w:hAnsi="David" w:cs="David" w:hint="cs"/>
          <w:rtl/>
        </w:rPr>
        <w:t>הגמרא מציגה את הדלעת כדוגמא קיצונית. הדלעת אינה ירק מעניין במיוחד. רש"י מצביע על כך שהדלעת מתחדשת משנה לשנה. על פניו עולה שהברכה היא בעיקר על הגלגל החוזר בעולם והחסד הגדול שהקב"ה מזכה אותנו בעוד שנת חיים.</w:t>
      </w:r>
    </w:p>
    <w:p w14:paraId="39B146C5" w14:textId="77777777" w:rsidR="00CD4F94" w:rsidRPr="00CD4F94" w:rsidRDefault="00CD4F94" w:rsidP="00252659">
      <w:pPr>
        <w:spacing w:line="276" w:lineRule="auto"/>
        <w:contextualSpacing/>
        <w:rPr>
          <w:rFonts w:ascii="David" w:eastAsia="Calibri" w:hAnsi="David" w:cs="David"/>
          <w:rtl/>
        </w:rPr>
      </w:pPr>
      <w:r w:rsidRPr="00CD4F94">
        <w:rPr>
          <w:rFonts w:ascii="David" w:eastAsia="Calibri" w:hAnsi="David" w:cs="David" w:hint="cs"/>
          <w:rtl/>
        </w:rPr>
        <w:t>מעניין שהרמב"ם מצמיד את הברכה על פרי המתחדש משנה לשנה לברכת 'מחיה המתים' על ראיית חברו שלא ראה בשנה האחרונה. לכאורה אין עונות קבועות לחברים. הצמדה זו מציגה את הברכה על הפרי החדש לא כחידוש הגלגל בעלמא, אלא ההתרגשות מכך שהנה שב אותו מכר שלא ראה בשנה שחלפה לה.</w:t>
      </w:r>
    </w:p>
    <w:p w14:paraId="60F4C6E3" w14:textId="77777777" w:rsidR="00CD4F94" w:rsidRPr="00CD4F94" w:rsidRDefault="00CD4F94" w:rsidP="00252659">
      <w:pPr>
        <w:spacing w:line="276" w:lineRule="auto"/>
        <w:contextualSpacing/>
        <w:rPr>
          <w:rFonts w:ascii="David" w:eastAsia="Calibri" w:hAnsi="David" w:cs="David"/>
          <w:rtl/>
        </w:rPr>
      </w:pPr>
      <w:r w:rsidRPr="00CD4F94">
        <w:rPr>
          <w:rFonts w:ascii="David" w:eastAsia="Calibri" w:hAnsi="David" w:cs="David" w:hint="cs"/>
          <w:rtl/>
        </w:rPr>
        <w:t xml:space="preserve">בנוסף ראוי לציין שבלשון הרמב"ם יש ברכה על ראיית חבר, וברכה על ראיית הפרי. זה מחדד את חובת הברכה על ראיית הפרי ולא על ההנאה ממנו. אך </w:t>
      </w:r>
      <w:proofErr w:type="spellStart"/>
      <w:r w:rsidRPr="00CD4F94">
        <w:rPr>
          <w:rFonts w:ascii="David" w:eastAsia="Calibri" w:hAnsi="David" w:cs="David" w:hint="cs"/>
          <w:rtl/>
        </w:rPr>
        <w:t>הרא"ש</w:t>
      </w:r>
      <w:proofErr w:type="spellEnd"/>
      <w:r w:rsidRPr="00CD4F94">
        <w:rPr>
          <w:rFonts w:ascii="David" w:eastAsia="Calibri" w:hAnsi="David" w:cs="David" w:hint="cs"/>
          <w:rtl/>
        </w:rPr>
        <w:t xml:space="preserve"> (עירובין פרק ג סימן י) אומר שמקובל לברך בשעת ההנאה מהפרי. אפשר לברך בראיית הפרי, אך יש יתרון בברכה על השלב המרגש יותר - האכילה.</w:t>
      </w:r>
    </w:p>
    <w:p w14:paraId="297ECBB5" w14:textId="77777777" w:rsidR="00CD4F94" w:rsidRPr="00CD4F94" w:rsidRDefault="00CD4F94" w:rsidP="00252659">
      <w:pPr>
        <w:spacing w:line="276" w:lineRule="auto"/>
        <w:contextualSpacing/>
        <w:rPr>
          <w:rFonts w:ascii="David" w:eastAsia="Calibri" w:hAnsi="David" w:cs="David"/>
          <w:rtl/>
        </w:rPr>
      </w:pPr>
      <w:r w:rsidRPr="00CD4F94">
        <w:rPr>
          <w:rFonts w:ascii="David" w:eastAsia="Calibri" w:hAnsi="David" w:cs="David" w:hint="cs"/>
          <w:rtl/>
        </w:rPr>
        <w:t xml:space="preserve">אך </w:t>
      </w:r>
      <w:proofErr w:type="spellStart"/>
      <w:r w:rsidRPr="00CD4F94">
        <w:rPr>
          <w:rFonts w:ascii="David" w:eastAsia="Calibri" w:hAnsi="David" w:cs="David" w:hint="cs"/>
          <w:rtl/>
        </w:rPr>
        <w:t>הסמ"ק</w:t>
      </w:r>
      <w:proofErr w:type="spellEnd"/>
      <w:r w:rsidRPr="00CD4F94">
        <w:rPr>
          <w:rFonts w:ascii="David" w:eastAsia="Calibri" w:hAnsi="David" w:cs="David" w:hint="cs"/>
          <w:rtl/>
        </w:rPr>
        <w:t xml:space="preserve"> מצביע על הבדל בין ראיית חבר וראיית הפרי: אין מניעה עקרונית לראות את החבר בכל עת. אך לא שייך לברך על פרי שבמקרה לא אכל בשנה האחרונה, אלא רק על פרי שלא הייתה יכולת להשיג בשנה האחרונה. יותר בעומק ניתן לומר שהברכה על החבר היא על עצם ראיית החבר. ואילו כאשר מברכים 'שהחיינו' על הפרי, הפרי רק משקף את ההתרגשות שיש לאדם ממעבר העונות.</w:t>
      </w:r>
    </w:p>
    <w:p w14:paraId="00599F0C" w14:textId="77777777" w:rsidR="00CD4F94" w:rsidRPr="00CD4F94" w:rsidRDefault="00CD4F94" w:rsidP="00252659">
      <w:pPr>
        <w:spacing w:line="276" w:lineRule="auto"/>
        <w:contextualSpacing/>
        <w:rPr>
          <w:rFonts w:ascii="David" w:eastAsia="Calibri" w:hAnsi="David" w:cs="David"/>
          <w:rtl/>
        </w:rPr>
      </w:pPr>
      <w:proofErr w:type="spellStart"/>
      <w:r w:rsidRPr="00CD4F94">
        <w:rPr>
          <w:rFonts w:ascii="David" w:eastAsia="Calibri" w:hAnsi="David" w:cs="David" w:hint="cs"/>
          <w:rtl/>
        </w:rPr>
        <w:t>המהרי"ל</w:t>
      </w:r>
      <w:proofErr w:type="spellEnd"/>
      <w:r w:rsidRPr="00CD4F94">
        <w:rPr>
          <w:rFonts w:ascii="David" w:eastAsia="Calibri" w:hAnsi="David" w:cs="David" w:hint="cs"/>
          <w:rtl/>
        </w:rPr>
        <w:t xml:space="preserve"> מביא מחלוקת אם לפי </w:t>
      </w:r>
      <w:proofErr w:type="spellStart"/>
      <w:r w:rsidRPr="00CD4F94">
        <w:rPr>
          <w:rFonts w:ascii="David" w:eastAsia="Calibri" w:hAnsi="David" w:cs="David" w:hint="cs"/>
          <w:rtl/>
        </w:rPr>
        <w:t>הסמ"ק</w:t>
      </w:r>
      <w:proofErr w:type="spellEnd"/>
      <w:r w:rsidRPr="00CD4F94">
        <w:rPr>
          <w:rFonts w:ascii="David" w:eastAsia="Calibri" w:hAnsi="David" w:cs="David" w:hint="cs"/>
          <w:rtl/>
        </w:rPr>
        <w:t xml:space="preserve"> ניתן לברך מאוחר יותר. לפי חלק מהראשונים הסוברים כשיטתו ניתן לברך בפעם הראשונה שרואה את הפרי, בלבד. אך </w:t>
      </w:r>
      <w:proofErr w:type="spellStart"/>
      <w:r w:rsidRPr="00CD4F94">
        <w:rPr>
          <w:rFonts w:ascii="David" w:eastAsia="Calibri" w:hAnsi="David" w:cs="David" w:hint="cs"/>
          <w:rtl/>
        </w:rPr>
        <w:t>המהרי"ל</w:t>
      </w:r>
      <w:proofErr w:type="spellEnd"/>
      <w:r w:rsidRPr="00CD4F94">
        <w:rPr>
          <w:rFonts w:ascii="David" w:eastAsia="Calibri" w:hAnsi="David" w:cs="David" w:hint="cs"/>
          <w:rtl/>
        </w:rPr>
        <w:t xml:space="preserve"> אומר שניתן לברך במשך העונה, לא רק ברגע הראשון, מכיוון שהשמחה היא בהגעה לעונה.</w:t>
      </w:r>
    </w:p>
    <w:p w14:paraId="09373CFF" w14:textId="77777777" w:rsidR="00CD4F94" w:rsidRPr="00CD4F94" w:rsidRDefault="00CD4F94" w:rsidP="00252659">
      <w:pPr>
        <w:spacing w:line="276" w:lineRule="auto"/>
        <w:contextualSpacing/>
        <w:rPr>
          <w:rFonts w:ascii="David" w:eastAsia="Calibri" w:hAnsi="David" w:cs="David"/>
          <w:rtl/>
        </w:rPr>
      </w:pPr>
      <w:r w:rsidRPr="00CD4F94">
        <w:rPr>
          <w:rFonts w:ascii="David" w:eastAsia="Calibri" w:hAnsi="David" w:cs="David" w:hint="cs"/>
          <w:rtl/>
        </w:rPr>
        <w:t xml:space="preserve">ברם, על פי </w:t>
      </w:r>
      <w:proofErr w:type="spellStart"/>
      <w:r w:rsidRPr="00CD4F94">
        <w:rPr>
          <w:rFonts w:ascii="David" w:eastAsia="Calibri" w:hAnsi="David" w:cs="David" w:hint="cs"/>
          <w:rtl/>
        </w:rPr>
        <w:t>הרא"ש</w:t>
      </w:r>
      <w:proofErr w:type="spellEnd"/>
      <w:r w:rsidRPr="00CD4F94">
        <w:rPr>
          <w:rFonts w:ascii="David" w:eastAsia="Calibri" w:hAnsi="David" w:cs="David" w:hint="cs"/>
          <w:rtl/>
        </w:rPr>
        <w:t>, כאמור, יתכן ויהיה נכון לברך או בשעת ראיית הפירות לראשונה, או בפעם הראשונה שאוכל מהפירות, בלבד.</w:t>
      </w:r>
    </w:p>
    <w:p w14:paraId="272BA781" w14:textId="77777777" w:rsidR="00CD4F94" w:rsidRPr="00CD4F94" w:rsidRDefault="00CD4F94" w:rsidP="00252659">
      <w:pPr>
        <w:spacing w:line="276" w:lineRule="auto"/>
        <w:contextualSpacing/>
        <w:rPr>
          <w:rFonts w:ascii="David" w:eastAsia="Calibri" w:hAnsi="David" w:cs="David"/>
          <w:sz w:val="16"/>
          <w:szCs w:val="16"/>
          <w:rtl/>
        </w:rPr>
      </w:pPr>
    </w:p>
    <w:p w14:paraId="50C5CFCD" w14:textId="77777777" w:rsidR="00CD4F94" w:rsidRPr="00CD4F94" w:rsidRDefault="00CD4F94" w:rsidP="00252659">
      <w:pPr>
        <w:spacing w:line="276" w:lineRule="auto"/>
        <w:contextualSpacing/>
        <w:rPr>
          <w:rFonts w:ascii="David" w:eastAsia="Calibri" w:hAnsi="David" w:cs="David"/>
          <w:rtl/>
        </w:rPr>
      </w:pPr>
      <w:r w:rsidRPr="00CD4F94">
        <w:rPr>
          <w:rFonts w:ascii="David" w:eastAsia="Calibri" w:hAnsi="David" w:cs="David" w:hint="cs"/>
          <w:rtl/>
        </w:rPr>
        <w:t xml:space="preserve">מתוך דברי </w:t>
      </w:r>
      <w:proofErr w:type="spellStart"/>
      <w:r w:rsidRPr="00CD4F94">
        <w:rPr>
          <w:rFonts w:ascii="David" w:eastAsia="Calibri" w:hAnsi="David" w:cs="David" w:hint="cs"/>
          <w:rtl/>
        </w:rPr>
        <w:t>הסמ"ק</w:t>
      </w:r>
      <w:proofErr w:type="spellEnd"/>
      <w:r w:rsidRPr="00CD4F94">
        <w:rPr>
          <w:rFonts w:ascii="David" w:eastAsia="Calibri" w:hAnsi="David" w:cs="David" w:hint="cs"/>
          <w:rtl/>
        </w:rPr>
        <w:t xml:space="preserve"> עולה שעלינו לבחון על אלו פירות ניתן לברך 'שהחיינו'.</w:t>
      </w:r>
    </w:p>
    <w:p w14:paraId="4FC1D529" w14:textId="77777777" w:rsidR="00CD4F94" w:rsidRPr="00CD4F94" w:rsidRDefault="00CD4F94" w:rsidP="00252659">
      <w:pPr>
        <w:spacing w:line="276" w:lineRule="auto"/>
        <w:contextualSpacing/>
        <w:rPr>
          <w:rFonts w:ascii="David" w:eastAsia="Calibri" w:hAnsi="David" w:cs="David"/>
          <w:rtl/>
        </w:rPr>
      </w:pPr>
      <w:r w:rsidRPr="00CD4F94">
        <w:rPr>
          <w:rFonts w:ascii="David" w:eastAsia="Calibri" w:hAnsi="David" w:cs="David" w:hint="cs"/>
          <w:rtl/>
        </w:rPr>
        <w:t xml:space="preserve">רבנו מנוח אומר שאין לברך 'שהחיינו' על מה שיכול להחזיק מעמד בקרקע במשך כל השנה. </w:t>
      </w:r>
      <w:proofErr w:type="spellStart"/>
      <w:r w:rsidRPr="00CD4F94">
        <w:rPr>
          <w:rFonts w:ascii="David" w:eastAsia="Calibri" w:hAnsi="David" w:cs="David" w:hint="cs"/>
          <w:rtl/>
        </w:rPr>
        <w:t>המהר"י</w:t>
      </w:r>
      <w:proofErr w:type="spellEnd"/>
      <w:r w:rsidRPr="00CD4F94">
        <w:rPr>
          <w:rFonts w:ascii="David" w:eastAsia="Calibri" w:hAnsi="David" w:cs="David" w:hint="cs"/>
          <w:rtl/>
        </w:rPr>
        <w:t xml:space="preserve"> וייל אומר שאין לברך על מה שאינו ניכר אם צמח בעונה החדשה או אשתקד. ברם ניתן להבין את דבריו בשני אופנים:</w:t>
      </w:r>
    </w:p>
    <w:p w14:paraId="5A1B546B" w14:textId="77777777" w:rsidR="00CD4F94" w:rsidRPr="00CD4F94" w:rsidRDefault="00CD4F94" w:rsidP="00252659">
      <w:pPr>
        <w:numPr>
          <w:ilvl w:val="0"/>
          <w:numId w:val="46"/>
        </w:numPr>
        <w:spacing w:line="276" w:lineRule="auto"/>
        <w:contextualSpacing/>
        <w:jc w:val="both"/>
        <w:rPr>
          <w:rFonts w:ascii="David" w:eastAsia="Calibri" w:hAnsi="David" w:cs="David"/>
        </w:rPr>
      </w:pPr>
      <w:r w:rsidRPr="00CD4F94">
        <w:rPr>
          <w:rFonts w:ascii="David" w:eastAsia="Calibri" w:hAnsi="David" w:cs="David" w:hint="cs"/>
          <w:rtl/>
        </w:rPr>
        <w:t>מה שיתכן ויישאר במשך כל השנה אינו מרגש, ואינו מצביע על התחדשות העונה.</w:t>
      </w:r>
    </w:p>
    <w:p w14:paraId="6582747F" w14:textId="77777777" w:rsidR="00CD4F94" w:rsidRPr="00CD4F94" w:rsidRDefault="00CD4F94" w:rsidP="00252659">
      <w:pPr>
        <w:numPr>
          <w:ilvl w:val="0"/>
          <w:numId w:val="46"/>
        </w:numPr>
        <w:spacing w:line="276" w:lineRule="auto"/>
        <w:contextualSpacing/>
        <w:jc w:val="both"/>
        <w:rPr>
          <w:rFonts w:ascii="David" w:eastAsia="Calibri" w:hAnsi="David" w:cs="David"/>
          <w:rtl/>
        </w:rPr>
      </w:pPr>
      <w:r w:rsidRPr="00CD4F94">
        <w:rPr>
          <w:rFonts w:ascii="David" w:eastAsia="Calibri" w:hAnsi="David" w:cs="David" w:hint="cs"/>
          <w:rtl/>
        </w:rPr>
        <w:t>יש כאן בעיה טכנית: קשה להבחין אם הצמח שלפנינו צמח זה עתה, או שהיה כאן במשך כל השנה. לפי הצד הזה, עקרונית אם ניתן לזהות שזה צמח מהעונה החדשה ניתן לברך עליו.</w:t>
      </w:r>
    </w:p>
    <w:p w14:paraId="58BC0DFE" w14:textId="77777777" w:rsidR="00CD4F94" w:rsidRPr="00CD4F94" w:rsidRDefault="00CD4F94" w:rsidP="00252659">
      <w:pPr>
        <w:spacing w:line="276" w:lineRule="auto"/>
        <w:contextualSpacing/>
        <w:rPr>
          <w:rFonts w:ascii="David" w:eastAsia="Calibri" w:hAnsi="David" w:cs="David"/>
          <w:rtl/>
        </w:rPr>
      </w:pPr>
      <w:r w:rsidRPr="00CD4F94">
        <w:rPr>
          <w:rFonts w:ascii="David" w:eastAsia="Calibri" w:hAnsi="David" w:cs="David" w:hint="cs"/>
          <w:rtl/>
        </w:rPr>
        <w:t>נביא דוגמא מן העולם שלנו: עכשיו ממש עונת הבשלת התפוחים. הקטיף שלהם יימשך במשך החודשיים הקרובים. אך חיי המדף של התפוחים, בתנאים נכונים, ארוך מאוד, ולכן אנו מסוגלים לשמור את התפוחים ולאכול מהם במשך כל השנה כולה. האם אפשר לברך על תפוחים שנקטפו זה עתה, בעונה שהתחדשה להם?</w:t>
      </w:r>
    </w:p>
    <w:p w14:paraId="4171ABA8" w14:textId="77777777" w:rsidR="00CD4F94" w:rsidRPr="00CD4F94" w:rsidRDefault="00CD4F94" w:rsidP="00252659">
      <w:pPr>
        <w:spacing w:line="276" w:lineRule="auto"/>
        <w:contextualSpacing/>
        <w:rPr>
          <w:rFonts w:ascii="David" w:eastAsia="Calibri" w:hAnsi="David" w:cs="David"/>
          <w:rtl/>
        </w:rPr>
      </w:pPr>
      <w:r w:rsidRPr="00CD4F94">
        <w:rPr>
          <w:rFonts w:ascii="David" w:eastAsia="Calibri" w:hAnsi="David" w:cs="David" w:hint="cs"/>
          <w:rtl/>
        </w:rPr>
        <w:t xml:space="preserve">המגן אברהם אומר שאכן </w:t>
      </w:r>
      <w:r w:rsidRPr="00CD4F94">
        <w:rPr>
          <w:rFonts w:ascii="David" w:eastAsia="Calibri" w:hAnsi="David" w:cs="David"/>
          <w:rtl/>
        </w:rPr>
        <w:t>–</w:t>
      </w:r>
      <w:r w:rsidRPr="00CD4F94">
        <w:rPr>
          <w:rFonts w:ascii="David" w:eastAsia="Calibri" w:hAnsi="David" w:cs="David" w:hint="cs"/>
          <w:rtl/>
        </w:rPr>
        <w:t xml:space="preserve"> אין התרגשות באכילה מהתפוח החדש, מפני שהוא עומד במחסן במשך כל השנה כולה.</w:t>
      </w:r>
    </w:p>
    <w:p w14:paraId="40D31277" w14:textId="77777777" w:rsidR="00CD4F94" w:rsidRPr="00CD4F94" w:rsidRDefault="00CD4F94" w:rsidP="00252659">
      <w:pPr>
        <w:spacing w:line="276" w:lineRule="auto"/>
        <w:contextualSpacing/>
        <w:rPr>
          <w:rFonts w:ascii="David" w:eastAsia="Calibri" w:hAnsi="David" w:cs="David"/>
          <w:rtl/>
        </w:rPr>
      </w:pPr>
      <w:r w:rsidRPr="00CD4F94">
        <w:rPr>
          <w:rFonts w:ascii="David" w:eastAsia="Calibri" w:hAnsi="David" w:cs="David" w:hint="cs"/>
          <w:rtl/>
        </w:rPr>
        <w:t xml:space="preserve">אך הרב </w:t>
      </w:r>
      <w:proofErr w:type="spellStart"/>
      <w:r w:rsidRPr="00CD4F94">
        <w:rPr>
          <w:rFonts w:ascii="David" w:eastAsia="Calibri" w:hAnsi="David" w:cs="David" w:hint="cs"/>
          <w:rtl/>
        </w:rPr>
        <w:t>פיינשטיין</w:t>
      </w:r>
      <w:proofErr w:type="spellEnd"/>
      <w:r w:rsidRPr="00CD4F94">
        <w:rPr>
          <w:rFonts w:ascii="David" w:eastAsia="Calibri" w:hAnsi="David" w:cs="David" w:hint="cs"/>
          <w:rtl/>
        </w:rPr>
        <w:t xml:space="preserve"> מציע חילוק מחודש ביותר:</w:t>
      </w:r>
    </w:p>
    <w:p w14:paraId="7C782F2D" w14:textId="77777777" w:rsidR="00CD4F94" w:rsidRPr="00CD4F94" w:rsidRDefault="00CD4F94" w:rsidP="00252659">
      <w:pPr>
        <w:spacing w:line="276" w:lineRule="auto"/>
        <w:contextualSpacing/>
        <w:rPr>
          <w:rFonts w:ascii="David" w:eastAsia="Calibri" w:hAnsi="David" w:cs="David"/>
          <w:rtl/>
        </w:rPr>
      </w:pPr>
      <w:r w:rsidRPr="00CD4F94">
        <w:rPr>
          <w:rFonts w:ascii="David" w:eastAsia="Calibri" w:hAnsi="David" w:cs="David" w:hint="cs"/>
          <w:rtl/>
        </w:rPr>
        <w:t xml:space="preserve">הוא מבחין בין פירות וירקות שקל לשמור אותם במשך כל השנה, ופירות שאמנם הטכנולוגיה מאפשרת לשמור אותם לכל השנה, אך ללא הטכנולוגיה פעולה זו תהיה בלתי אפשרית. הוא מציע את דבריו על גבי הצעה </w:t>
      </w:r>
      <w:proofErr w:type="spellStart"/>
      <w:r w:rsidRPr="00CD4F94">
        <w:rPr>
          <w:rFonts w:ascii="David" w:eastAsia="Calibri" w:hAnsi="David" w:cs="David" w:hint="cs"/>
          <w:rtl/>
        </w:rPr>
        <w:t>אמונית</w:t>
      </w:r>
      <w:proofErr w:type="spellEnd"/>
      <w:r w:rsidRPr="00CD4F94">
        <w:rPr>
          <w:rFonts w:ascii="David" w:eastAsia="Calibri" w:hAnsi="David" w:cs="David" w:hint="cs"/>
          <w:rtl/>
        </w:rPr>
        <w:t xml:space="preserve"> מרתקת: הקב"ה ברא את התבואה ואת תפוחי האדמה באופן שיחסית קל לשמר אותו במשך כל השנה, מפני שזו תזונתו הבסיסית של האדם. תפוחי עץ, לעומתם, הם כמעט מותרות. לכן הקב"ה ברא אותם באופן שיצמחו בעונה מסוימת. אמנם הקב"ה חנן אותנו בדעת שמאפשרת לנו לשמר אותם למשך זמן ארוך, אך זה מצביע על החכמה שהקב"ה טבע בנו, ולא תכונה של הפרי. הפרי, במהותו, הוא פרי בעל עונה מסוימת, ובעונה זו ראוי לברך 'שהחיינו'.</w:t>
      </w:r>
    </w:p>
    <w:p w14:paraId="29B6CA49" w14:textId="77777777" w:rsidR="00CD4F94" w:rsidRPr="00CD4F94" w:rsidRDefault="00CD4F94" w:rsidP="00252659">
      <w:pPr>
        <w:spacing w:line="276" w:lineRule="auto"/>
        <w:contextualSpacing/>
        <w:rPr>
          <w:rFonts w:ascii="David" w:eastAsia="Calibri" w:hAnsi="David" w:cs="David"/>
          <w:rtl/>
        </w:rPr>
      </w:pPr>
      <w:r w:rsidRPr="00CD4F94">
        <w:rPr>
          <w:rFonts w:ascii="David" w:eastAsia="Calibri" w:hAnsi="David" w:cs="David" w:hint="cs"/>
          <w:rtl/>
        </w:rPr>
        <w:t xml:space="preserve">אך אם ניתן להבחין בין היבול הישן והחדש, המגן אברהם אומר שיש לברך 'שהחיינו' על היבול החדש. המור </w:t>
      </w:r>
      <w:proofErr w:type="spellStart"/>
      <w:r w:rsidRPr="00CD4F94">
        <w:rPr>
          <w:rFonts w:ascii="David" w:eastAsia="Calibri" w:hAnsi="David" w:cs="David" w:hint="cs"/>
          <w:rtl/>
        </w:rPr>
        <w:t>וקציעה</w:t>
      </w:r>
      <w:proofErr w:type="spellEnd"/>
      <w:r w:rsidRPr="00CD4F94">
        <w:rPr>
          <w:rFonts w:ascii="David" w:eastAsia="Calibri" w:hAnsi="David" w:cs="David" w:hint="cs"/>
          <w:rtl/>
        </w:rPr>
        <w:t xml:space="preserve"> חולק עליו ואומר שהברכה אינה על עצם היבול החדש, אלא על ההתרגשות באכילה ממנה. פרי שניתן לאכול במשך כל השנה אינו מרגש דיו, גם אם הוא יודע שזהו פרי מהעונה החדשה.</w:t>
      </w:r>
    </w:p>
    <w:p w14:paraId="647B0C96" w14:textId="77777777" w:rsidR="00CD4F94" w:rsidRPr="00CD4F94" w:rsidRDefault="00CD4F94" w:rsidP="00252659">
      <w:pPr>
        <w:spacing w:line="276" w:lineRule="auto"/>
        <w:contextualSpacing/>
        <w:rPr>
          <w:rFonts w:ascii="David" w:eastAsia="Calibri" w:hAnsi="David" w:cs="David"/>
          <w:rtl/>
        </w:rPr>
      </w:pPr>
      <w:r w:rsidRPr="00CD4F94">
        <w:rPr>
          <w:rFonts w:ascii="David" w:eastAsia="Calibri" w:hAnsi="David" w:cs="David" w:hint="cs"/>
          <w:rtl/>
        </w:rPr>
        <w:t xml:space="preserve">שוב חזרנו לאותה מחלוקת שנגענו בה מספר פעמים: המגן אברהם אומר שיש כאן פרי חדש, האדם יודע שהוא חדש, אז שיברך על השיבה לעונה זו! אך המור </w:t>
      </w:r>
      <w:proofErr w:type="spellStart"/>
      <w:r w:rsidRPr="00CD4F94">
        <w:rPr>
          <w:rFonts w:ascii="David" w:eastAsia="Calibri" w:hAnsi="David" w:cs="David" w:hint="cs"/>
          <w:rtl/>
        </w:rPr>
        <w:t>וקציעה</w:t>
      </w:r>
      <w:proofErr w:type="spellEnd"/>
      <w:r w:rsidRPr="00CD4F94">
        <w:rPr>
          <w:rFonts w:ascii="David" w:eastAsia="Calibri" w:hAnsi="David" w:cs="David" w:hint="cs"/>
          <w:rtl/>
        </w:rPr>
        <w:t xml:space="preserve"> אומר שללא התרגשות מעצם הטעם המתחדש בפיו </w:t>
      </w:r>
      <w:r w:rsidRPr="00CD4F94">
        <w:rPr>
          <w:rFonts w:ascii="David" w:eastAsia="Calibri" w:hAnsi="David" w:cs="David"/>
          <w:rtl/>
        </w:rPr>
        <w:t>–</w:t>
      </w:r>
      <w:r w:rsidRPr="00CD4F94">
        <w:rPr>
          <w:rFonts w:ascii="David" w:eastAsia="Calibri" w:hAnsi="David" w:cs="David" w:hint="cs"/>
          <w:rtl/>
        </w:rPr>
        <w:t xml:space="preserve"> אין הצדקה לברך 'שהחיינו'.</w:t>
      </w:r>
    </w:p>
    <w:p w14:paraId="5F9ECDED" w14:textId="77777777" w:rsidR="00CD4F94" w:rsidRPr="00CD4F94" w:rsidRDefault="00CD4F94" w:rsidP="00252659">
      <w:pPr>
        <w:spacing w:line="276" w:lineRule="auto"/>
        <w:contextualSpacing/>
        <w:rPr>
          <w:rFonts w:ascii="David" w:eastAsia="Calibri" w:hAnsi="David" w:cs="David"/>
          <w:rtl/>
        </w:rPr>
      </w:pPr>
      <w:r w:rsidRPr="00CD4F94">
        <w:rPr>
          <w:rFonts w:ascii="David" w:eastAsia="Calibri" w:hAnsi="David" w:cs="David" w:hint="cs"/>
          <w:rtl/>
        </w:rPr>
        <w:t xml:space="preserve">הרב </w:t>
      </w:r>
      <w:proofErr w:type="spellStart"/>
      <w:r w:rsidRPr="00CD4F94">
        <w:rPr>
          <w:rFonts w:ascii="David" w:eastAsia="Calibri" w:hAnsi="David" w:cs="David" w:hint="cs"/>
          <w:rtl/>
        </w:rPr>
        <w:t>פיינשטיין</w:t>
      </w:r>
      <w:proofErr w:type="spellEnd"/>
      <w:r w:rsidRPr="00CD4F94">
        <w:rPr>
          <w:rFonts w:ascii="David" w:eastAsia="Calibri" w:hAnsi="David" w:cs="David" w:hint="cs"/>
          <w:rtl/>
        </w:rPr>
        <w:t xml:space="preserve"> גוזר מהדבר נפקא מינה מחמירה: אם הברכה היא על הפירות שגדלו בחודש אב, הרי שיש לברך ברכה אחת בלבד על כל פירות העונה הזאת. שהרי הברכה אינה על ההתרגשות מפרי זה או אחר, אלא מהעונה. על העונה ניתן לברך פעם אחת בלבד, גם אם היא באה לידי ביטוי בפירות רבים.</w:t>
      </w:r>
    </w:p>
    <w:p w14:paraId="6A4EEB77" w14:textId="77777777" w:rsidR="00CD4F94" w:rsidRPr="00CD4F94" w:rsidRDefault="00CD4F94" w:rsidP="00252659">
      <w:pPr>
        <w:spacing w:line="276" w:lineRule="auto"/>
        <w:contextualSpacing/>
        <w:rPr>
          <w:rFonts w:ascii="David" w:eastAsia="Calibri" w:hAnsi="David" w:cs="David"/>
          <w:sz w:val="16"/>
          <w:szCs w:val="16"/>
          <w:rtl/>
        </w:rPr>
      </w:pPr>
    </w:p>
    <w:p w14:paraId="65FD7535" w14:textId="77777777" w:rsidR="00252659" w:rsidRDefault="00252659" w:rsidP="00252659">
      <w:pPr>
        <w:spacing w:line="276" w:lineRule="auto"/>
        <w:contextualSpacing/>
        <w:rPr>
          <w:rFonts w:ascii="David" w:eastAsia="Calibri" w:hAnsi="David" w:cs="David"/>
          <w:rtl/>
        </w:rPr>
      </w:pPr>
      <w:r>
        <w:rPr>
          <w:rFonts w:ascii="David" w:eastAsia="Calibri" w:hAnsi="David" w:cs="David"/>
          <w:rtl/>
        </w:rPr>
        <w:br w:type="page"/>
      </w:r>
    </w:p>
    <w:p w14:paraId="70AC236C" w14:textId="7CC9D501" w:rsidR="00CD4F94" w:rsidRPr="00CD4F94" w:rsidRDefault="00CD4F94" w:rsidP="00252659">
      <w:pPr>
        <w:spacing w:line="276" w:lineRule="auto"/>
        <w:contextualSpacing/>
        <w:rPr>
          <w:rFonts w:ascii="David" w:eastAsia="Calibri" w:hAnsi="David" w:cs="David"/>
          <w:rtl/>
        </w:rPr>
      </w:pPr>
      <w:r w:rsidRPr="00CD4F94">
        <w:rPr>
          <w:rFonts w:ascii="David" w:eastAsia="Calibri" w:hAnsi="David" w:cs="David" w:hint="cs"/>
          <w:rtl/>
        </w:rPr>
        <w:lastRenderedPageBreak/>
        <w:t>בעזרת הטכנולוגיות החדשות שלנו עולה שאלה חדשה: מהו הדין של פירות מיובאים? למקרה של הייבוא יש מספר השלכות הלכתיות: :</w:t>
      </w:r>
    </w:p>
    <w:p w14:paraId="16D7D55B" w14:textId="77777777" w:rsidR="00CD4F94" w:rsidRPr="00CD4F94" w:rsidRDefault="00CD4F94" w:rsidP="00252659">
      <w:pPr>
        <w:spacing w:line="276" w:lineRule="auto"/>
        <w:contextualSpacing/>
        <w:rPr>
          <w:rFonts w:ascii="David" w:eastAsia="Calibri" w:hAnsi="David" w:cs="David"/>
          <w:rtl/>
        </w:rPr>
      </w:pPr>
      <w:r w:rsidRPr="00CD4F94">
        <w:rPr>
          <w:rFonts w:ascii="David" w:eastAsia="Calibri" w:hAnsi="David" w:cs="David" w:hint="cs"/>
          <w:rtl/>
        </w:rPr>
        <w:t xml:space="preserve">פירות שיובאו חד פעמית וכדו' מחו"ל: הרב שטרנבוך (תשובות והנהגות א סימן </w:t>
      </w:r>
      <w:proofErr w:type="spellStart"/>
      <w:r w:rsidRPr="00CD4F94">
        <w:rPr>
          <w:rFonts w:ascii="David" w:eastAsia="Calibri" w:hAnsi="David" w:cs="David" w:hint="cs"/>
          <w:rtl/>
        </w:rPr>
        <w:t>רא</w:t>
      </w:r>
      <w:proofErr w:type="spellEnd"/>
      <w:r w:rsidRPr="00CD4F94">
        <w:rPr>
          <w:rFonts w:ascii="David" w:eastAsia="Calibri" w:hAnsi="David" w:cs="David" w:hint="cs"/>
          <w:rtl/>
        </w:rPr>
        <w:t>) מכריע שהברכה היא על התחדשות העונה, ואם כך אין הצדקה לברך על הפירות שאין זו עונתם, גם אם יובאו מחו"ל רק עכשיו.</w:t>
      </w:r>
    </w:p>
    <w:p w14:paraId="7120C5EB" w14:textId="77777777" w:rsidR="00CD4F94" w:rsidRPr="00CD4F94" w:rsidRDefault="00CD4F94" w:rsidP="00252659">
      <w:pPr>
        <w:spacing w:line="276" w:lineRule="auto"/>
        <w:contextualSpacing/>
        <w:rPr>
          <w:rFonts w:ascii="David" w:eastAsia="Calibri" w:hAnsi="David" w:cs="David"/>
          <w:rtl/>
        </w:rPr>
      </w:pPr>
      <w:r w:rsidRPr="00CD4F94">
        <w:rPr>
          <w:rFonts w:ascii="David" w:eastAsia="Calibri" w:hAnsi="David" w:cs="David" w:hint="cs"/>
          <w:rtl/>
        </w:rPr>
        <w:t xml:space="preserve">יש פירות שניתן להשיג בארץ בעונה מסוימת בלבד, אך מייבאים אותם לחנויות היקרות במשך כל השנה כולה. הרב אלישיב פוסק שהימצאות הפירות הללו בשוק בכל השנה מונעת את האפשרות לברך 'שהחיינו' גם בעת התחדשות העונה. אך הרב שטרנבוך אומר שמכיוון שהפרי אינו זמין לרוב העם, אלא לעשירים בלבד, רוב העם יברכו 'שהחיינו' בהגיע העונה. </w:t>
      </w:r>
    </w:p>
    <w:p w14:paraId="1155BB9D" w14:textId="650F88FF" w:rsidR="00CD4F94" w:rsidRDefault="00CD4F94" w:rsidP="00252659">
      <w:pPr>
        <w:spacing w:line="276" w:lineRule="auto"/>
        <w:contextualSpacing/>
        <w:rPr>
          <w:rFonts w:ascii="David" w:eastAsia="Calibri" w:hAnsi="David" w:cs="David"/>
          <w:rtl/>
        </w:rPr>
      </w:pPr>
      <w:r w:rsidRPr="00CD4F94">
        <w:rPr>
          <w:rFonts w:ascii="David" w:eastAsia="Calibri" w:hAnsi="David" w:cs="David" w:hint="cs"/>
          <w:rtl/>
        </w:rPr>
        <w:t>בכיוון ההפוך: אדם שיצא למחצית הכדור הדרומי באמצע החורף, וגילה שהגיע בדיוק בעונה של פרי קיצי. הרב שטרנבוך פוסק שהוא יכול לברך על העונה החדשה שבכדור הדרומי.</w:t>
      </w:r>
    </w:p>
    <w:p w14:paraId="2007933A" w14:textId="77777777" w:rsidR="00252659" w:rsidRPr="00CD4F94" w:rsidRDefault="00252659" w:rsidP="00252659">
      <w:pPr>
        <w:contextualSpacing/>
        <w:rPr>
          <w:rFonts w:ascii="David" w:eastAsia="Calibri" w:hAnsi="David" w:cs="David"/>
          <w:rtl/>
        </w:rPr>
      </w:pPr>
    </w:p>
    <w:p w14:paraId="262411F8" w14:textId="77777777" w:rsidR="00E72230" w:rsidRPr="008B5E1B" w:rsidRDefault="00E72230" w:rsidP="00252659">
      <w:pPr>
        <w:spacing w:line="276" w:lineRule="auto"/>
        <w:contextualSpacing/>
        <w:jc w:val="both"/>
        <w:rPr>
          <w:rFonts w:ascii="David" w:eastAsia="Calibri" w:hAnsi="David" w:cs="David"/>
          <w:sz w:val="6"/>
          <w:szCs w:val="6"/>
        </w:rPr>
      </w:pPr>
    </w:p>
    <w:p w14:paraId="20AEC267" w14:textId="77777777" w:rsidR="00252659" w:rsidRDefault="00252659" w:rsidP="00252659">
      <w:pPr>
        <w:spacing w:line="276" w:lineRule="auto"/>
        <w:contextualSpacing/>
        <w:jc w:val="center"/>
        <w:rPr>
          <w:rFonts w:cs="David"/>
          <w:b/>
          <w:bCs/>
          <w:color w:val="0070C0"/>
          <w:sz w:val="23"/>
          <w:szCs w:val="23"/>
          <w:rtl/>
          <w:lang w:eastAsia="he-IL"/>
        </w:rPr>
      </w:pPr>
      <w:hyperlink r:id="rId16" w:history="1">
        <w:r w:rsidR="009B609E" w:rsidRPr="00CB4B59">
          <w:rPr>
            <w:rStyle w:val="Hyperlink"/>
            <w:rFonts w:cs="David" w:hint="cs"/>
            <w:b/>
            <w:bCs/>
            <w:sz w:val="23"/>
            <w:szCs w:val="23"/>
            <w:rtl/>
            <w:lang w:eastAsia="he-IL"/>
          </w:rPr>
          <w:t>ארץ חמדה –</w:t>
        </w:r>
        <w:r w:rsidR="00C816D3" w:rsidRPr="00CB4B59">
          <w:rPr>
            <w:rStyle w:val="Hyperlink"/>
            <w:rFonts w:cs="David" w:hint="cs"/>
            <w:b/>
            <w:bCs/>
            <w:sz w:val="23"/>
            <w:szCs w:val="23"/>
            <w:rtl/>
            <w:lang w:eastAsia="he-IL"/>
          </w:rPr>
          <w:t xml:space="preserve"> קישור לשיעורי "מורנו" ביוטיוב</w:t>
        </w:r>
      </w:hyperlink>
      <w:r w:rsidR="00DE64E2" w:rsidRPr="00DE64E2">
        <w:rPr>
          <w:rStyle w:val="Hyperlink"/>
          <w:rFonts w:cs="David" w:hint="cs"/>
          <w:b/>
          <w:bCs/>
          <w:sz w:val="23"/>
          <w:szCs w:val="23"/>
          <w:u w:val="none"/>
          <w:rtl/>
          <w:lang w:eastAsia="he-IL"/>
        </w:rPr>
        <w:t xml:space="preserve">          </w:t>
      </w:r>
    </w:p>
    <w:p w14:paraId="1247BC4D" w14:textId="77777777" w:rsidR="00252659" w:rsidRDefault="00252659" w:rsidP="00252659">
      <w:pPr>
        <w:spacing w:line="276" w:lineRule="auto"/>
        <w:contextualSpacing/>
        <w:jc w:val="center"/>
        <w:rPr>
          <w:rFonts w:cs="David"/>
          <w:b/>
          <w:bCs/>
          <w:color w:val="0070C0"/>
          <w:sz w:val="23"/>
          <w:szCs w:val="23"/>
          <w:rtl/>
          <w:lang w:eastAsia="he-IL"/>
        </w:rPr>
      </w:pPr>
    </w:p>
    <w:p w14:paraId="02EFECAD" w14:textId="6B64BA30" w:rsidR="00CD4F94" w:rsidRDefault="009A52D7" w:rsidP="00252659">
      <w:pPr>
        <w:spacing w:line="276" w:lineRule="auto"/>
        <w:contextualSpacing/>
        <w:jc w:val="center"/>
        <w:rPr>
          <w:color w:val="0070C0"/>
          <w:sz w:val="23"/>
          <w:szCs w:val="23"/>
          <w:rtl/>
        </w:rPr>
      </w:pPr>
      <w:r w:rsidRPr="00CB4B59">
        <w:rPr>
          <w:rFonts w:cs="David"/>
          <w:b/>
          <w:bCs/>
          <w:color w:val="0070C0"/>
          <w:sz w:val="23"/>
          <w:szCs w:val="23"/>
          <w:rtl/>
          <w:lang w:eastAsia="he-IL"/>
        </w:rPr>
        <w:t>ניתן ליצור קשר עם הכותבים דרך</w:t>
      </w:r>
      <w:r w:rsidRPr="00CB4B59">
        <w:rPr>
          <w:rFonts w:cs="David" w:hint="cs"/>
          <w:b/>
          <w:bCs/>
          <w:color w:val="0070C0"/>
          <w:sz w:val="23"/>
          <w:szCs w:val="23"/>
          <w:rtl/>
          <w:lang w:eastAsia="he-IL"/>
        </w:rPr>
        <w:t xml:space="preserve">: </w:t>
      </w:r>
      <w:r w:rsidRPr="00CB4B59">
        <w:rPr>
          <w:rFonts w:cs="David"/>
          <w:b/>
          <w:bCs/>
          <w:color w:val="0070C0"/>
          <w:sz w:val="23"/>
          <w:szCs w:val="23"/>
          <w:rtl/>
          <w:lang w:eastAsia="he-IL"/>
        </w:rPr>
        <w:t xml:space="preserve"> </w:t>
      </w:r>
      <w:hyperlink r:id="rId17" w:history="1">
        <w:r w:rsidRPr="00CB4B59">
          <w:rPr>
            <w:color w:val="0070C0"/>
            <w:sz w:val="23"/>
            <w:szCs w:val="23"/>
          </w:rPr>
          <w:t>info@eretzhemdah.org</w:t>
        </w:r>
      </w:hyperlink>
      <w:bookmarkEnd w:id="0"/>
    </w:p>
    <w:p w14:paraId="23779708" w14:textId="77777777" w:rsidR="00252659" w:rsidRDefault="00252659" w:rsidP="00252659">
      <w:pPr>
        <w:contextualSpacing/>
        <w:jc w:val="center"/>
        <w:rPr>
          <w:color w:val="0070C0"/>
          <w:sz w:val="23"/>
          <w:szCs w:val="23"/>
          <w:rtl/>
        </w:rPr>
      </w:pPr>
    </w:p>
    <w:tbl>
      <w:tblPr>
        <w:tblStyle w:val="1f8"/>
        <w:tblpPr w:leftFromText="180" w:rightFromText="180" w:vertAnchor="text" w:horzAnchor="margin" w:tblpXSpec="center" w:tblpY="187"/>
        <w:bidiVisual/>
        <w:tblW w:w="10514" w:type="dxa"/>
        <w:tblLook w:val="04A0" w:firstRow="1" w:lastRow="0" w:firstColumn="1" w:lastColumn="0" w:noHBand="0" w:noVBand="1"/>
      </w:tblPr>
      <w:tblGrid>
        <w:gridCol w:w="1301"/>
        <w:gridCol w:w="280"/>
        <w:gridCol w:w="11"/>
        <w:gridCol w:w="702"/>
        <w:gridCol w:w="11"/>
        <w:gridCol w:w="693"/>
        <w:gridCol w:w="708"/>
        <w:gridCol w:w="709"/>
        <w:gridCol w:w="153"/>
        <w:gridCol w:w="413"/>
        <w:gridCol w:w="296"/>
        <w:gridCol w:w="839"/>
        <w:gridCol w:w="142"/>
        <w:gridCol w:w="574"/>
        <w:gridCol w:w="571"/>
        <w:gridCol w:w="142"/>
        <w:gridCol w:w="130"/>
        <w:gridCol w:w="142"/>
        <w:gridCol w:w="850"/>
        <w:gridCol w:w="710"/>
        <w:gridCol w:w="857"/>
        <w:gridCol w:w="280"/>
      </w:tblGrid>
      <w:tr w:rsidR="00252659" w:rsidRPr="003A5DA7" w14:paraId="2F86D9E4" w14:textId="77777777" w:rsidTr="00E45167">
        <w:tc>
          <w:tcPr>
            <w:tcW w:w="6832" w:type="dxa"/>
            <w:gridSpan w:val="14"/>
            <w:tcBorders>
              <w:top w:val="single" w:sz="4" w:space="0" w:color="auto"/>
              <w:left w:val="single" w:sz="4" w:space="0" w:color="auto"/>
              <w:bottom w:val="nil"/>
              <w:right w:val="nil"/>
            </w:tcBorders>
            <w:vAlign w:val="center"/>
          </w:tcPr>
          <w:p w14:paraId="3DE9DBC2" w14:textId="77777777" w:rsidR="00252659" w:rsidRPr="00F5215F" w:rsidRDefault="00252659" w:rsidP="00E45167">
            <w:pPr>
              <w:contextualSpacing/>
              <w:jc w:val="center"/>
              <w:rPr>
                <w:rFonts w:cs="David"/>
                <w:b/>
                <w:bCs/>
                <w:sz w:val="6"/>
                <w:szCs w:val="6"/>
                <w:u w:val="single"/>
                <w:rtl/>
              </w:rPr>
            </w:pPr>
          </w:p>
          <w:p w14:paraId="4FA070C0" w14:textId="77777777" w:rsidR="00252659" w:rsidRPr="00785CA6" w:rsidRDefault="00252659" w:rsidP="00E45167">
            <w:pPr>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8"/>
            <w:tcBorders>
              <w:top w:val="single" w:sz="4" w:space="0" w:color="auto"/>
              <w:left w:val="nil"/>
              <w:bottom w:val="nil"/>
              <w:right w:val="single" w:sz="4" w:space="0" w:color="auto"/>
            </w:tcBorders>
            <w:vAlign w:val="center"/>
          </w:tcPr>
          <w:p w14:paraId="59125655" w14:textId="77777777" w:rsidR="00252659" w:rsidRPr="00A52F63" w:rsidRDefault="00252659" w:rsidP="00E45167">
            <w:pPr>
              <w:contextualSpacing/>
              <w:jc w:val="center"/>
              <w:rPr>
                <w:rFonts w:ascii="Calibri" w:eastAsia="Calibri" w:hAnsi="Calibri" w:cs="David"/>
                <w:b/>
                <w:bCs/>
                <w:color w:val="0070C0"/>
                <w:sz w:val="21"/>
                <w:szCs w:val="21"/>
                <w:rtl/>
              </w:rPr>
            </w:pPr>
            <w:r w:rsidRPr="00A52F63">
              <w:rPr>
                <w:rFonts w:cs="David" w:hint="cs"/>
                <w:b/>
                <w:bCs/>
                <w:color w:val="0070C0"/>
                <w:sz w:val="21"/>
                <w:szCs w:val="21"/>
                <w:rtl/>
              </w:rPr>
              <w:t>החייל, איתמר חיים בן ציפי ציפורה</w:t>
            </w:r>
          </w:p>
        </w:tc>
      </w:tr>
      <w:tr w:rsidR="00252659" w:rsidRPr="003A5DA7" w14:paraId="2D0318E0" w14:textId="77777777" w:rsidTr="00E45167">
        <w:tc>
          <w:tcPr>
            <w:tcW w:w="1581" w:type="dxa"/>
            <w:gridSpan w:val="2"/>
            <w:tcBorders>
              <w:top w:val="nil"/>
              <w:left w:val="single" w:sz="4" w:space="0" w:color="auto"/>
              <w:bottom w:val="nil"/>
              <w:right w:val="nil"/>
            </w:tcBorders>
            <w:vAlign w:val="center"/>
          </w:tcPr>
          <w:p w14:paraId="6361BF97" w14:textId="77777777" w:rsidR="00252659" w:rsidRPr="00A52F63" w:rsidRDefault="00252659" w:rsidP="00E45167">
            <w:pPr>
              <w:spacing w:line="276" w:lineRule="auto"/>
              <w:contextualSpacing/>
              <w:jc w:val="center"/>
              <w:rPr>
                <w:rFonts w:cs="David"/>
                <w:b/>
                <w:bCs/>
                <w:color w:val="0070C0"/>
                <w:sz w:val="21"/>
                <w:szCs w:val="21"/>
              </w:rPr>
            </w:pPr>
            <w:r w:rsidRPr="00A52F63">
              <w:rPr>
                <w:rFonts w:ascii="David" w:hAnsi="David" w:cs="David" w:hint="cs"/>
                <w:b/>
                <w:bCs/>
                <w:color w:val="0070C0"/>
                <w:sz w:val="21"/>
                <w:szCs w:val="21"/>
                <w:rtl/>
              </w:rPr>
              <w:t>שולמית בת לאה</w:t>
            </w:r>
          </w:p>
        </w:tc>
        <w:tc>
          <w:tcPr>
            <w:tcW w:w="2987" w:type="dxa"/>
            <w:gridSpan w:val="7"/>
            <w:tcBorders>
              <w:top w:val="nil"/>
              <w:left w:val="nil"/>
              <w:bottom w:val="nil"/>
              <w:right w:val="nil"/>
            </w:tcBorders>
            <w:vAlign w:val="center"/>
          </w:tcPr>
          <w:p w14:paraId="37FFF3CD" w14:textId="77777777" w:rsidR="00252659" w:rsidRPr="00A52F63" w:rsidRDefault="00252659" w:rsidP="00E45167">
            <w:pPr>
              <w:spacing w:line="276" w:lineRule="auto"/>
              <w:contextualSpacing/>
              <w:jc w:val="center"/>
              <w:rPr>
                <w:rFonts w:cs="David"/>
                <w:b/>
                <w:bCs/>
                <w:color w:val="0070C0"/>
                <w:sz w:val="21"/>
                <w:szCs w:val="21"/>
              </w:rPr>
            </w:pPr>
            <w:r w:rsidRPr="00A52F63">
              <w:rPr>
                <w:rFonts w:cs="David"/>
                <w:b/>
                <w:bCs/>
                <w:color w:val="0070C0"/>
                <w:sz w:val="21"/>
                <w:szCs w:val="21"/>
                <w:rtl/>
              </w:rPr>
              <w:t>ניר רפאל בן רחל ברכה</w:t>
            </w:r>
          </w:p>
        </w:tc>
        <w:tc>
          <w:tcPr>
            <w:tcW w:w="2835" w:type="dxa"/>
            <w:gridSpan w:val="6"/>
            <w:tcBorders>
              <w:top w:val="nil"/>
              <w:left w:val="nil"/>
              <w:bottom w:val="nil"/>
              <w:right w:val="nil"/>
            </w:tcBorders>
            <w:vAlign w:val="center"/>
          </w:tcPr>
          <w:p w14:paraId="7138C12F" w14:textId="77777777" w:rsidR="00252659" w:rsidRPr="00A52F63" w:rsidRDefault="00252659" w:rsidP="00E45167">
            <w:pPr>
              <w:spacing w:line="276" w:lineRule="auto"/>
              <w:contextualSpacing/>
              <w:jc w:val="center"/>
              <w:rPr>
                <w:rFonts w:cs="David"/>
                <w:b/>
                <w:bCs/>
                <w:color w:val="0070C0"/>
                <w:sz w:val="21"/>
                <w:szCs w:val="21"/>
              </w:rPr>
            </w:pPr>
            <w:r w:rsidRPr="00A52F63">
              <w:rPr>
                <w:rFonts w:cs="David"/>
                <w:b/>
                <w:bCs/>
                <w:color w:val="0070C0"/>
                <w:sz w:val="21"/>
                <w:szCs w:val="21"/>
                <w:rtl/>
              </w:rPr>
              <w:t>חנה בת אוריה</w:t>
            </w:r>
          </w:p>
        </w:tc>
        <w:tc>
          <w:tcPr>
            <w:tcW w:w="2831" w:type="dxa"/>
            <w:gridSpan w:val="6"/>
            <w:tcBorders>
              <w:top w:val="nil"/>
              <w:left w:val="nil"/>
              <w:bottom w:val="nil"/>
              <w:right w:val="nil"/>
            </w:tcBorders>
            <w:vAlign w:val="center"/>
          </w:tcPr>
          <w:p w14:paraId="29580D61" w14:textId="77777777" w:rsidR="00252659" w:rsidRPr="00A52F63" w:rsidRDefault="00252659" w:rsidP="00E45167">
            <w:pPr>
              <w:spacing w:line="276" w:lineRule="auto"/>
              <w:contextualSpacing/>
              <w:jc w:val="center"/>
              <w:rPr>
                <w:rFonts w:cs="David"/>
                <w:b/>
                <w:bCs/>
                <w:color w:val="0070C0"/>
                <w:sz w:val="21"/>
                <w:szCs w:val="21"/>
              </w:rPr>
            </w:pPr>
            <w:r w:rsidRPr="00A52F63">
              <w:rPr>
                <w:rFonts w:cs="David" w:hint="cs"/>
                <w:b/>
                <w:bCs/>
                <w:color w:val="0070C0"/>
                <w:sz w:val="21"/>
                <w:szCs w:val="21"/>
                <w:rtl/>
              </w:rPr>
              <w:t>טל</w:t>
            </w:r>
            <w:r w:rsidRPr="00A52F63">
              <w:rPr>
                <w:rFonts w:cs="David"/>
                <w:b/>
                <w:bCs/>
                <w:color w:val="0070C0"/>
                <w:sz w:val="21"/>
                <w:szCs w:val="21"/>
                <w:rtl/>
              </w:rPr>
              <w:t xml:space="preserve"> שאול בן יפה</w:t>
            </w:r>
          </w:p>
        </w:tc>
        <w:tc>
          <w:tcPr>
            <w:tcW w:w="280" w:type="dxa"/>
            <w:tcBorders>
              <w:top w:val="nil"/>
              <w:left w:val="nil"/>
              <w:bottom w:val="nil"/>
              <w:right w:val="single" w:sz="4" w:space="0" w:color="auto"/>
            </w:tcBorders>
            <w:vAlign w:val="center"/>
          </w:tcPr>
          <w:p w14:paraId="32060BE5" w14:textId="77777777" w:rsidR="00252659" w:rsidRPr="00C55092" w:rsidRDefault="00252659" w:rsidP="00E45167">
            <w:pPr>
              <w:spacing w:line="252" w:lineRule="auto"/>
              <w:contextualSpacing/>
              <w:jc w:val="center"/>
              <w:rPr>
                <w:rFonts w:cs="David"/>
                <w:b/>
                <w:bCs/>
                <w:color w:val="0070C0"/>
                <w:sz w:val="20"/>
                <w:szCs w:val="20"/>
              </w:rPr>
            </w:pPr>
          </w:p>
        </w:tc>
      </w:tr>
      <w:tr w:rsidR="00252659" w:rsidRPr="003A5DA7" w14:paraId="2C2568AC" w14:textId="77777777" w:rsidTr="00E45167">
        <w:tc>
          <w:tcPr>
            <w:tcW w:w="1301" w:type="dxa"/>
            <w:tcBorders>
              <w:top w:val="nil"/>
              <w:left w:val="single" w:sz="4" w:space="0" w:color="auto"/>
              <w:bottom w:val="nil"/>
              <w:right w:val="nil"/>
            </w:tcBorders>
            <w:vAlign w:val="center"/>
          </w:tcPr>
          <w:p w14:paraId="6ADE0431" w14:textId="77777777" w:rsidR="00252659" w:rsidRPr="003A5DA7" w:rsidRDefault="00252659" w:rsidP="00E45167">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697" w:type="dxa"/>
            <w:gridSpan w:val="5"/>
            <w:tcBorders>
              <w:top w:val="nil"/>
              <w:left w:val="nil"/>
              <w:bottom w:val="nil"/>
              <w:right w:val="nil"/>
            </w:tcBorders>
            <w:vAlign w:val="center"/>
          </w:tcPr>
          <w:p w14:paraId="6253BC31" w14:textId="77777777" w:rsidR="00252659" w:rsidRPr="003A5DA7" w:rsidRDefault="00252659" w:rsidP="00E45167">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2"/>
            <w:tcBorders>
              <w:top w:val="nil"/>
              <w:left w:val="nil"/>
              <w:bottom w:val="nil"/>
              <w:right w:val="nil"/>
            </w:tcBorders>
            <w:vAlign w:val="center"/>
          </w:tcPr>
          <w:p w14:paraId="41678F53" w14:textId="77777777" w:rsidR="00252659" w:rsidRPr="003A5DA7" w:rsidRDefault="00252659" w:rsidP="00E45167">
            <w:pPr>
              <w:spacing w:line="276" w:lineRule="auto"/>
              <w:contextualSpacing/>
              <w:jc w:val="center"/>
              <w:rPr>
                <w:rFonts w:cs="David"/>
                <w:b/>
                <w:bCs/>
                <w:color w:val="0070C0"/>
                <w:sz w:val="20"/>
                <w:szCs w:val="20"/>
              </w:rPr>
            </w:pPr>
            <w:r>
              <w:rPr>
                <w:rFonts w:cs="David" w:hint="cs"/>
                <w:b/>
                <w:bCs/>
                <w:color w:val="0070C0"/>
                <w:sz w:val="20"/>
                <w:szCs w:val="20"/>
                <w:rtl/>
              </w:rPr>
              <w:t>ישי בן מרים</w:t>
            </w:r>
          </w:p>
        </w:tc>
        <w:tc>
          <w:tcPr>
            <w:tcW w:w="1843" w:type="dxa"/>
            <w:gridSpan w:val="5"/>
            <w:tcBorders>
              <w:top w:val="nil"/>
              <w:left w:val="nil"/>
              <w:bottom w:val="nil"/>
              <w:right w:val="nil"/>
            </w:tcBorders>
            <w:vAlign w:val="center"/>
          </w:tcPr>
          <w:p w14:paraId="3CF22FBB" w14:textId="77777777" w:rsidR="00252659" w:rsidRPr="003A5DA7" w:rsidRDefault="00252659" w:rsidP="00E45167">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3119" w:type="dxa"/>
            <w:gridSpan w:val="7"/>
            <w:tcBorders>
              <w:top w:val="nil"/>
              <w:left w:val="nil"/>
              <w:bottom w:val="nil"/>
              <w:right w:val="nil"/>
            </w:tcBorders>
            <w:vAlign w:val="center"/>
          </w:tcPr>
          <w:p w14:paraId="321DE4D6" w14:textId="77777777" w:rsidR="00252659" w:rsidRPr="003A5DA7" w:rsidRDefault="00252659" w:rsidP="00E45167">
            <w:pPr>
              <w:spacing w:line="276" w:lineRule="auto"/>
              <w:contextualSpacing/>
              <w:jc w:val="center"/>
              <w:rPr>
                <w:rFonts w:cs="David"/>
                <w:b/>
                <w:bCs/>
                <w:color w:val="0070C0"/>
                <w:sz w:val="20"/>
                <w:szCs w:val="20"/>
                <w:rtl/>
              </w:rPr>
            </w:pPr>
            <w:r w:rsidRPr="003A5DA7">
              <w:rPr>
                <w:rFonts w:ascii="Calibri" w:eastAsia="Calibri" w:hAnsi="Calibri" w:cs="David"/>
                <w:b/>
                <w:bCs/>
                <w:color w:val="0070C0"/>
                <w:sz w:val="20"/>
                <w:szCs w:val="20"/>
                <w:rtl/>
              </w:rPr>
              <w:t>מיכאל אלכסנדר אברהם בן שרה מלכה</w:t>
            </w:r>
          </w:p>
        </w:tc>
        <w:tc>
          <w:tcPr>
            <w:tcW w:w="1137" w:type="dxa"/>
            <w:gridSpan w:val="2"/>
            <w:tcBorders>
              <w:top w:val="nil"/>
              <w:left w:val="nil"/>
              <w:bottom w:val="nil"/>
              <w:right w:val="single" w:sz="4" w:space="0" w:color="auto"/>
            </w:tcBorders>
            <w:vAlign w:val="center"/>
          </w:tcPr>
          <w:p w14:paraId="3FE0BFA8" w14:textId="77777777" w:rsidR="00252659" w:rsidRPr="003A5DA7" w:rsidRDefault="00252659" w:rsidP="00E45167">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252659" w:rsidRPr="003A5DA7" w14:paraId="687948D1" w14:textId="77777777" w:rsidTr="00E45167">
        <w:tc>
          <w:tcPr>
            <w:tcW w:w="1592" w:type="dxa"/>
            <w:gridSpan w:val="3"/>
            <w:tcBorders>
              <w:top w:val="nil"/>
              <w:left w:val="single" w:sz="4" w:space="0" w:color="auto"/>
              <w:bottom w:val="nil"/>
              <w:right w:val="nil"/>
            </w:tcBorders>
            <w:vAlign w:val="center"/>
          </w:tcPr>
          <w:p w14:paraId="322D63C1" w14:textId="77777777" w:rsidR="00252659" w:rsidRPr="003A5DA7" w:rsidRDefault="00252659" w:rsidP="00E45167">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4" w:type="dxa"/>
            <w:gridSpan w:val="4"/>
            <w:tcBorders>
              <w:top w:val="nil"/>
              <w:left w:val="nil"/>
              <w:bottom w:val="nil"/>
              <w:right w:val="nil"/>
            </w:tcBorders>
            <w:vAlign w:val="center"/>
          </w:tcPr>
          <w:p w14:paraId="1258B1B7" w14:textId="77777777" w:rsidR="00252659" w:rsidRPr="003A5DA7" w:rsidRDefault="00252659" w:rsidP="00E45167">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571" w:type="dxa"/>
            <w:gridSpan w:val="4"/>
            <w:tcBorders>
              <w:top w:val="nil"/>
              <w:left w:val="nil"/>
              <w:bottom w:val="nil"/>
              <w:right w:val="nil"/>
            </w:tcBorders>
            <w:vAlign w:val="center"/>
          </w:tcPr>
          <w:p w14:paraId="6FA681B5" w14:textId="77777777" w:rsidR="00252659" w:rsidRPr="003A5DA7" w:rsidRDefault="00252659" w:rsidP="00E45167">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שמואל בן ברוריה</w:t>
            </w:r>
          </w:p>
        </w:tc>
        <w:tc>
          <w:tcPr>
            <w:tcW w:w="2268" w:type="dxa"/>
            <w:gridSpan w:val="5"/>
            <w:tcBorders>
              <w:top w:val="nil"/>
              <w:left w:val="nil"/>
              <w:bottom w:val="nil"/>
              <w:right w:val="nil"/>
            </w:tcBorders>
            <w:vAlign w:val="center"/>
          </w:tcPr>
          <w:p w14:paraId="61CB00DA" w14:textId="77777777" w:rsidR="00252659" w:rsidRPr="00FF6578" w:rsidRDefault="00252659" w:rsidP="00E45167">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122" w:type="dxa"/>
            <w:gridSpan w:val="3"/>
            <w:tcBorders>
              <w:top w:val="nil"/>
              <w:left w:val="nil"/>
              <w:bottom w:val="nil"/>
              <w:right w:val="nil"/>
            </w:tcBorders>
            <w:vAlign w:val="center"/>
          </w:tcPr>
          <w:p w14:paraId="43EC8E07" w14:textId="77777777" w:rsidR="00252659" w:rsidRPr="00FF6578" w:rsidRDefault="00252659" w:rsidP="00E45167">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7" w:type="dxa"/>
            <w:gridSpan w:val="3"/>
            <w:tcBorders>
              <w:top w:val="nil"/>
              <w:left w:val="nil"/>
              <w:bottom w:val="nil"/>
              <w:right w:val="single" w:sz="4" w:space="0" w:color="auto"/>
            </w:tcBorders>
            <w:vAlign w:val="center"/>
          </w:tcPr>
          <w:p w14:paraId="65116C6C" w14:textId="77777777" w:rsidR="00252659" w:rsidRPr="003A5DA7" w:rsidRDefault="00252659" w:rsidP="00E45167">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252659" w:rsidRPr="003A5DA7" w14:paraId="78B6BED2" w14:textId="77777777" w:rsidTr="00E45167">
        <w:tc>
          <w:tcPr>
            <w:tcW w:w="2305" w:type="dxa"/>
            <w:gridSpan w:val="5"/>
            <w:tcBorders>
              <w:top w:val="nil"/>
              <w:left w:val="single" w:sz="4" w:space="0" w:color="auto"/>
              <w:bottom w:val="nil"/>
              <w:right w:val="nil"/>
            </w:tcBorders>
            <w:vAlign w:val="center"/>
          </w:tcPr>
          <w:p w14:paraId="0FEB751C" w14:textId="77777777" w:rsidR="00252659" w:rsidRPr="003A5DA7" w:rsidRDefault="00252659" w:rsidP="00E45167">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110" w:type="dxa"/>
            <w:gridSpan w:val="3"/>
            <w:tcBorders>
              <w:top w:val="nil"/>
              <w:left w:val="nil"/>
              <w:bottom w:val="nil"/>
              <w:right w:val="nil"/>
            </w:tcBorders>
            <w:vAlign w:val="center"/>
          </w:tcPr>
          <w:p w14:paraId="56F87E53" w14:textId="77777777" w:rsidR="00252659" w:rsidRPr="003A5DA7" w:rsidRDefault="00252659" w:rsidP="00E45167">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701" w:type="dxa"/>
            <w:gridSpan w:val="4"/>
            <w:tcBorders>
              <w:top w:val="nil"/>
              <w:left w:val="nil"/>
              <w:bottom w:val="nil"/>
              <w:right w:val="nil"/>
            </w:tcBorders>
            <w:vAlign w:val="center"/>
          </w:tcPr>
          <w:p w14:paraId="1613171D" w14:textId="77777777" w:rsidR="00252659" w:rsidRPr="003A5DA7" w:rsidRDefault="00252659" w:rsidP="00E45167">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701" w:type="dxa"/>
            <w:gridSpan w:val="6"/>
            <w:tcBorders>
              <w:top w:val="nil"/>
              <w:left w:val="nil"/>
              <w:bottom w:val="nil"/>
              <w:right w:val="nil"/>
            </w:tcBorders>
            <w:vAlign w:val="center"/>
          </w:tcPr>
          <w:p w14:paraId="756A68A8" w14:textId="77777777" w:rsidR="00252659" w:rsidRPr="003A5DA7" w:rsidRDefault="00252659" w:rsidP="00E45167">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697" w:type="dxa"/>
            <w:gridSpan w:val="4"/>
            <w:tcBorders>
              <w:top w:val="nil"/>
              <w:left w:val="nil"/>
              <w:bottom w:val="nil"/>
              <w:right w:val="single" w:sz="4" w:space="0" w:color="auto"/>
            </w:tcBorders>
            <w:vAlign w:val="center"/>
          </w:tcPr>
          <w:p w14:paraId="0E3DECEB" w14:textId="77777777" w:rsidR="00252659" w:rsidRPr="003A5DA7" w:rsidRDefault="00252659" w:rsidP="00E45167">
            <w:pPr>
              <w:spacing w:line="276" w:lineRule="auto"/>
              <w:contextualSpacing/>
              <w:jc w:val="center"/>
              <w:rPr>
                <w:rFonts w:cs="David"/>
                <w:b/>
                <w:bCs/>
                <w:color w:val="0070C0"/>
                <w:sz w:val="20"/>
                <w:szCs w:val="20"/>
                <w:rtl/>
              </w:rPr>
            </w:pPr>
            <w:r w:rsidRPr="000F56BB">
              <w:rPr>
                <w:rFonts w:ascii="David" w:hAnsi="David" w:cs="David"/>
                <w:b/>
                <w:bCs/>
                <w:color w:val="0070C0"/>
                <w:sz w:val="20"/>
                <w:szCs w:val="20"/>
                <w:rtl/>
              </w:rPr>
              <w:t>משה בן אסתר חיה</w:t>
            </w:r>
          </w:p>
        </w:tc>
      </w:tr>
      <w:tr w:rsidR="00252659" w:rsidRPr="003A5DA7" w14:paraId="47E60A5E" w14:textId="77777777" w:rsidTr="00E45167">
        <w:tc>
          <w:tcPr>
            <w:tcW w:w="2294" w:type="dxa"/>
            <w:gridSpan w:val="4"/>
            <w:tcBorders>
              <w:top w:val="nil"/>
              <w:left w:val="single" w:sz="4" w:space="0" w:color="auto"/>
              <w:bottom w:val="single" w:sz="4" w:space="0" w:color="auto"/>
              <w:right w:val="nil"/>
            </w:tcBorders>
            <w:vAlign w:val="center"/>
          </w:tcPr>
          <w:p w14:paraId="15C37B1F" w14:textId="77777777" w:rsidR="00252659" w:rsidRPr="003A5DA7" w:rsidRDefault="00252659" w:rsidP="00E45167">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7" w:type="dxa"/>
            <w:gridSpan w:val="6"/>
            <w:tcBorders>
              <w:top w:val="nil"/>
              <w:left w:val="nil"/>
              <w:bottom w:val="single" w:sz="4" w:space="0" w:color="auto"/>
              <w:right w:val="nil"/>
            </w:tcBorders>
            <w:vAlign w:val="center"/>
          </w:tcPr>
          <w:p w14:paraId="07571F6B" w14:textId="77777777" w:rsidR="00252659" w:rsidRPr="003A5DA7" w:rsidRDefault="00252659" w:rsidP="00E45167">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7"/>
            <w:tcBorders>
              <w:top w:val="nil"/>
              <w:left w:val="nil"/>
              <w:bottom w:val="single" w:sz="4" w:space="0" w:color="auto"/>
              <w:right w:val="nil"/>
            </w:tcBorders>
            <w:vAlign w:val="center"/>
          </w:tcPr>
          <w:p w14:paraId="345D0677" w14:textId="77777777" w:rsidR="00252659" w:rsidRPr="003A5DA7" w:rsidRDefault="00252659" w:rsidP="00E45167">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2839" w:type="dxa"/>
            <w:gridSpan w:val="5"/>
            <w:tcBorders>
              <w:top w:val="nil"/>
              <w:left w:val="nil"/>
              <w:bottom w:val="single" w:sz="4" w:space="0" w:color="auto"/>
              <w:right w:val="single" w:sz="4" w:space="0" w:color="auto"/>
            </w:tcBorders>
            <w:vAlign w:val="center"/>
          </w:tcPr>
          <w:p w14:paraId="6FCDDEB7" w14:textId="77777777" w:rsidR="00252659" w:rsidRPr="007025EE" w:rsidRDefault="00252659" w:rsidP="00E45167">
            <w:pPr>
              <w:spacing w:line="276" w:lineRule="auto"/>
              <w:contextualSpacing/>
              <w:jc w:val="center"/>
              <w:rPr>
                <w:rFonts w:cs="David"/>
                <w:b/>
                <w:bCs/>
                <w:color w:val="0070C0"/>
                <w:sz w:val="20"/>
                <w:szCs w:val="20"/>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r>
    </w:tbl>
    <w:p w14:paraId="5F28839A" w14:textId="77777777" w:rsidR="00252659" w:rsidRDefault="00252659" w:rsidP="00252659">
      <w:pPr>
        <w:contextualSpacing/>
        <w:rPr>
          <w:rFonts w:cs="David"/>
          <w:rtl/>
        </w:rPr>
      </w:pPr>
    </w:p>
    <w:p w14:paraId="22F1FF55" w14:textId="77777777" w:rsidR="00252659" w:rsidRDefault="00252659" w:rsidP="00252659">
      <w:pPr>
        <w:spacing w:line="276" w:lineRule="auto"/>
        <w:contextualSpacing/>
        <w:jc w:val="center"/>
        <w:rPr>
          <w:color w:val="0070C0"/>
          <w:sz w:val="23"/>
          <w:szCs w:val="23"/>
          <w:rtl/>
        </w:rPr>
      </w:pPr>
    </w:p>
    <w:p w14:paraId="3E48A7BF" w14:textId="184750B5" w:rsidR="00E72230" w:rsidRDefault="00E72230" w:rsidP="00CD4F94">
      <w:pPr>
        <w:contextualSpacing/>
        <w:jc w:val="center"/>
        <w:rPr>
          <w:rFonts w:cs="David"/>
        </w:rPr>
      </w:pPr>
      <w:r w:rsidRPr="003E3AE1">
        <w:rPr>
          <w:rFonts w:cs="David"/>
          <w:noProof/>
          <w:sz w:val="12"/>
          <w:szCs w:val="12"/>
        </w:rPr>
        <w:drawing>
          <wp:anchor distT="0" distB="0" distL="114300" distR="114300" simplePos="0" relativeHeight="251661312" behindDoc="1" locked="0" layoutInCell="1" allowOverlap="1" wp14:anchorId="3DC5E2B4" wp14:editId="61B06DAC">
            <wp:simplePos x="0" y="0"/>
            <wp:positionH relativeFrom="margin">
              <wp:posOffset>3519170</wp:posOffset>
            </wp:positionH>
            <wp:positionV relativeFrom="paragraph">
              <wp:posOffset>-37465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5171EE" w14:textId="641F6FC1" w:rsidR="00E72230" w:rsidRDefault="00E72230" w:rsidP="00601083">
      <w:pPr>
        <w:contextualSpacing/>
        <w:rPr>
          <w:rFonts w:cs="David"/>
          <w:rtl/>
        </w:rPr>
      </w:pPr>
    </w:p>
    <w:p w14:paraId="250F27A4" w14:textId="77777777" w:rsidR="00252659" w:rsidRDefault="00252659" w:rsidP="00601083">
      <w:pPr>
        <w:contextualSpacing/>
        <w:rPr>
          <w:rFonts w:cs="David"/>
          <w:rtl/>
        </w:rPr>
      </w:pPr>
    </w:p>
    <w:p w14:paraId="0A7EAD60" w14:textId="77777777" w:rsidR="00E72230" w:rsidRDefault="00E72230" w:rsidP="00601083">
      <w:pPr>
        <w:contextualSpacing/>
        <w:rPr>
          <w:rFonts w:cs="David"/>
          <w:rtl/>
        </w:rPr>
      </w:pPr>
    </w:p>
    <w:p w14:paraId="783775E9" w14:textId="77777777" w:rsidR="006138C2" w:rsidRPr="006138C2" w:rsidRDefault="006138C2" w:rsidP="006138C2">
      <w:pPr>
        <w:keepNext/>
        <w:contextualSpacing/>
        <w:outlineLvl w:val="0"/>
        <w:rPr>
          <w:rFonts w:cs="David"/>
          <w:rtl/>
        </w:rPr>
      </w:pPr>
      <w:r w:rsidRPr="006138C2">
        <w:rPr>
          <w:rFonts w:cs="David" w:hint="cs"/>
          <w:rtl/>
        </w:rPr>
        <w:t>(</w:t>
      </w:r>
      <w:r w:rsidRPr="006138C2">
        <w:rPr>
          <w:rFonts w:cs="David"/>
          <w:rtl/>
        </w:rPr>
        <w:t xml:space="preserve">מתוך </w:t>
      </w:r>
      <w:proofErr w:type="spellStart"/>
      <w:r w:rsidRPr="006138C2">
        <w:rPr>
          <w:rFonts w:cs="David"/>
          <w:rtl/>
        </w:rPr>
        <w:t>ח"ג</w:t>
      </w:r>
      <w:proofErr w:type="spellEnd"/>
      <w:r w:rsidRPr="006138C2">
        <w:rPr>
          <w:rFonts w:cs="David" w:hint="cs"/>
          <w:rtl/>
        </w:rPr>
        <w:t>)</w:t>
      </w:r>
    </w:p>
    <w:p w14:paraId="02B3743E" w14:textId="77777777" w:rsidR="006138C2" w:rsidRPr="006138C2" w:rsidRDefault="006138C2" w:rsidP="006138C2">
      <w:pPr>
        <w:contextualSpacing/>
        <w:rPr>
          <w:rFonts w:cs="David"/>
          <w:rtl/>
        </w:rPr>
      </w:pPr>
    </w:p>
    <w:p w14:paraId="397F2718" w14:textId="6D0E9001" w:rsidR="006138C2" w:rsidRPr="006138C2" w:rsidRDefault="006138C2" w:rsidP="006138C2">
      <w:pPr>
        <w:contextualSpacing/>
        <w:rPr>
          <w:rFonts w:cs="David"/>
          <w:sz w:val="32"/>
          <w:szCs w:val="32"/>
        </w:rPr>
      </w:pPr>
      <w:r w:rsidRPr="006138C2">
        <w:rPr>
          <w:rFonts w:cs="David"/>
          <w:b/>
          <w:bCs/>
          <w:sz w:val="32"/>
          <w:szCs w:val="32"/>
          <w:rtl/>
        </w:rPr>
        <w:t>קליפורניה, ארה"ב</w:t>
      </w:r>
      <w:r w:rsidRPr="006138C2">
        <w:rPr>
          <w:rFonts w:cs="David"/>
          <w:sz w:val="32"/>
          <w:szCs w:val="32"/>
          <w:rtl/>
        </w:rPr>
        <w:tab/>
      </w:r>
      <w:r w:rsidRPr="006138C2">
        <w:rPr>
          <w:rFonts w:cs="David"/>
          <w:sz w:val="32"/>
          <w:szCs w:val="32"/>
          <w:rtl/>
        </w:rPr>
        <w:tab/>
      </w:r>
      <w:r w:rsidRPr="006138C2">
        <w:rPr>
          <w:rFonts w:cs="David"/>
          <w:sz w:val="32"/>
          <w:szCs w:val="32"/>
          <w:rtl/>
        </w:rPr>
        <w:tab/>
      </w:r>
      <w:r w:rsidRPr="006138C2">
        <w:rPr>
          <w:rFonts w:cs="David"/>
          <w:sz w:val="32"/>
          <w:szCs w:val="32"/>
          <w:rtl/>
        </w:rPr>
        <w:tab/>
      </w:r>
      <w:r w:rsidRPr="006138C2">
        <w:rPr>
          <w:rFonts w:cs="David"/>
          <w:sz w:val="32"/>
          <w:szCs w:val="32"/>
          <w:rtl/>
        </w:rPr>
        <w:tab/>
      </w:r>
      <w:r w:rsidRPr="006138C2">
        <w:rPr>
          <w:rFonts w:cs="David"/>
          <w:sz w:val="32"/>
          <w:szCs w:val="32"/>
          <w:rtl/>
        </w:rPr>
        <w:tab/>
      </w:r>
      <w:r w:rsidRPr="006138C2">
        <w:rPr>
          <w:rFonts w:cs="David"/>
          <w:sz w:val="32"/>
          <w:szCs w:val="32"/>
          <w:rtl/>
        </w:rPr>
        <w:tab/>
      </w:r>
      <w:r w:rsidRPr="006138C2">
        <w:rPr>
          <w:rFonts w:cs="David"/>
          <w:sz w:val="32"/>
          <w:szCs w:val="32"/>
          <w:rtl/>
        </w:rPr>
        <w:tab/>
      </w:r>
      <w:r w:rsidRPr="006138C2">
        <w:rPr>
          <w:rFonts w:cs="David"/>
          <w:sz w:val="32"/>
          <w:szCs w:val="32"/>
          <w:rtl/>
        </w:rPr>
        <w:tab/>
      </w:r>
      <w:r>
        <w:rPr>
          <w:rFonts w:cs="David" w:hint="cs"/>
          <w:sz w:val="32"/>
          <w:szCs w:val="32"/>
          <w:rtl/>
        </w:rPr>
        <w:t xml:space="preserve">  </w:t>
      </w:r>
      <w:r w:rsidRPr="006138C2">
        <w:rPr>
          <w:rFonts w:cs="David"/>
          <w:b/>
          <w:bCs/>
          <w:sz w:val="32"/>
          <w:szCs w:val="32"/>
        </w:rPr>
        <w:t>California, USA</w:t>
      </w:r>
    </w:p>
    <w:p w14:paraId="5E0BA2E1" w14:textId="77777777" w:rsidR="006138C2" w:rsidRPr="006138C2" w:rsidRDefault="006138C2" w:rsidP="006138C2">
      <w:pPr>
        <w:contextualSpacing/>
        <w:rPr>
          <w:rFonts w:cs="David"/>
          <w:rtl/>
        </w:rPr>
      </w:pPr>
      <w:r w:rsidRPr="006138C2">
        <w:rPr>
          <w:rFonts w:cs="David"/>
          <w:rtl/>
        </w:rPr>
        <w:t>מנחם אב תשנ"ג</w:t>
      </w:r>
    </w:p>
    <w:p w14:paraId="7F747670" w14:textId="77777777" w:rsidR="006138C2" w:rsidRPr="006138C2" w:rsidRDefault="006138C2" w:rsidP="006138C2">
      <w:pPr>
        <w:contextualSpacing/>
        <w:rPr>
          <w:rFonts w:cs="David"/>
          <w:rtl/>
        </w:rPr>
      </w:pPr>
    </w:p>
    <w:p w14:paraId="31F0ABB0" w14:textId="77777777" w:rsidR="006138C2" w:rsidRPr="006138C2" w:rsidRDefault="006138C2" w:rsidP="006138C2">
      <w:pPr>
        <w:keepNext/>
        <w:contextualSpacing/>
        <w:outlineLvl w:val="1"/>
        <w:rPr>
          <w:rFonts w:ascii="David" w:hAnsi="David" w:cs="David"/>
          <w:b/>
          <w:bCs/>
          <w:color w:val="0070C0"/>
          <w:kern w:val="2"/>
          <w:sz w:val="30"/>
          <w:szCs w:val="30"/>
          <w:rtl/>
          <w14:ligatures w14:val="standardContextual"/>
        </w:rPr>
      </w:pPr>
      <w:r w:rsidRPr="006138C2">
        <w:rPr>
          <w:rFonts w:ascii="David" w:hAnsi="David" w:cs="David"/>
          <w:b/>
          <w:bCs/>
          <w:color w:val="0070C0"/>
          <w:kern w:val="2"/>
          <w:sz w:val="30"/>
          <w:szCs w:val="30"/>
          <w:rtl/>
          <w14:ligatures w14:val="standardContextual"/>
        </w:rPr>
        <w:t>אופני החיוב ללכת לדין-תורה כאשר והתחילו לדון בערכאות</w:t>
      </w:r>
    </w:p>
    <w:p w14:paraId="78F7424B" w14:textId="77777777" w:rsidR="006138C2" w:rsidRPr="006138C2" w:rsidRDefault="006138C2" w:rsidP="006138C2">
      <w:pPr>
        <w:contextualSpacing/>
        <w:rPr>
          <w:rFonts w:cs="David"/>
          <w:rtl/>
        </w:rPr>
      </w:pPr>
    </w:p>
    <w:p w14:paraId="40B742C3" w14:textId="77777777" w:rsidR="006138C2" w:rsidRPr="006138C2" w:rsidRDefault="006138C2" w:rsidP="006138C2">
      <w:pPr>
        <w:contextualSpacing/>
        <w:rPr>
          <w:rFonts w:cs="David"/>
          <w:b/>
          <w:bCs/>
          <w:sz w:val="26"/>
          <w:szCs w:val="26"/>
          <w:rtl/>
        </w:rPr>
      </w:pPr>
      <w:r w:rsidRPr="006138C2">
        <w:rPr>
          <w:rFonts w:cs="David"/>
          <w:b/>
          <w:bCs/>
          <w:sz w:val="26"/>
          <w:szCs w:val="26"/>
          <w:rtl/>
        </w:rPr>
        <w:t>שאלה</w:t>
      </w:r>
    </w:p>
    <w:p w14:paraId="51891512" w14:textId="77777777" w:rsidR="006138C2" w:rsidRPr="006138C2" w:rsidRDefault="006138C2" w:rsidP="006138C2">
      <w:pPr>
        <w:contextualSpacing/>
        <w:rPr>
          <w:rFonts w:cs="David"/>
          <w:rtl/>
        </w:rPr>
      </w:pPr>
      <w:r w:rsidRPr="006138C2">
        <w:rPr>
          <w:rFonts w:cs="David"/>
          <w:rtl/>
        </w:rPr>
        <w:t xml:space="preserve">לראובן יש סכסוך עם לוי ולאה </w:t>
      </w:r>
      <w:proofErr w:type="spellStart"/>
      <w:r w:rsidRPr="006138C2">
        <w:rPr>
          <w:rFonts w:cs="David"/>
          <w:rtl/>
        </w:rPr>
        <w:t>אמו</w:t>
      </w:r>
      <w:proofErr w:type="spellEnd"/>
      <w:r w:rsidRPr="006138C2">
        <w:rPr>
          <w:rFonts w:cs="David"/>
          <w:rtl/>
        </w:rPr>
        <w:t xml:space="preserve">. ידוע שלוי הוא גברא </w:t>
      </w:r>
      <w:proofErr w:type="spellStart"/>
      <w:r w:rsidRPr="006138C2">
        <w:rPr>
          <w:rFonts w:cs="David"/>
          <w:rtl/>
        </w:rPr>
        <w:t>אלימא</w:t>
      </w:r>
      <w:proofErr w:type="spellEnd"/>
      <w:r w:rsidRPr="006138C2">
        <w:rPr>
          <w:rFonts w:cs="David"/>
          <w:rtl/>
        </w:rPr>
        <w:t xml:space="preserve"> כבר מילדותו, ויש לו משפטים רבים בבית-המשפט בלוס אנג'לס.</w:t>
      </w:r>
    </w:p>
    <w:p w14:paraId="12FA3267" w14:textId="77777777" w:rsidR="006138C2" w:rsidRPr="006138C2" w:rsidRDefault="006138C2" w:rsidP="006138C2">
      <w:pPr>
        <w:contextualSpacing/>
        <w:rPr>
          <w:rFonts w:cs="David"/>
          <w:rtl/>
        </w:rPr>
      </w:pPr>
      <w:r w:rsidRPr="006138C2">
        <w:rPr>
          <w:rFonts w:cs="David"/>
          <w:rtl/>
        </w:rPr>
        <w:t>ראובן רצה לקנות קרקע מלוי ולאה, אך לא הצליח למצוא הלוואה, ולכן לא קנה. לאחר כשנה לוי איים על ראובן להורגו ואף היכה את אחיו של ראובן מכות נאמנות. ראובן תבע את לוי בבית-משפט, ובית-המשפט קבע שאסור ללוי להתקרב אל ראובן או ביתו או בני משפחתו במרחק של אלף מטר.</w:t>
      </w:r>
    </w:p>
    <w:p w14:paraId="236C4B3F" w14:textId="77777777" w:rsidR="006138C2" w:rsidRPr="006138C2" w:rsidRDefault="006138C2" w:rsidP="006138C2">
      <w:pPr>
        <w:contextualSpacing/>
        <w:rPr>
          <w:rFonts w:cs="David"/>
          <w:rtl/>
        </w:rPr>
      </w:pPr>
      <w:r w:rsidRPr="006138C2">
        <w:rPr>
          <w:rFonts w:cs="David"/>
          <w:rtl/>
        </w:rPr>
        <w:t>לאחר כשנה של דיונים בבית משפט כאשר הדין כמעט הוכרע שלוי יצטרך לשלם לראובן כמה מאות אלפי דולרים, ביקש לוי לדון בדין-תורה.</w:t>
      </w:r>
    </w:p>
    <w:p w14:paraId="0C8F81B6" w14:textId="77777777" w:rsidR="006138C2" w:rsidRPr="006138C2" w:rsidRDefault="006138C2" w:rsidP="006138C2">
      <w:pPr>
        <w:contextualSpacing/>
        <w:rPr>
          <w:rFonts w:cs="David"/>
          <w:rtl/>
        </w:rPr>
      </w:pPr>
      <w:r w:rsidRPr="006138C2">
        <w:rPr>
          <w:rFonts w:cs="David"/>
          <w:rtl/>
        </w:rPr>
        <w:t>יצוין, שכל צד הוציא כסף רב על עורכי דין, וכן ידוע שבעבר היו ללוי משפטים עם יהודים ומעולם לא ביקש דין-תורה.</w:t>
      </w:r>
    </w:p>
    <w:p w14:paraId="786FE414" w14:textId="77777777" w:rsidR="006138C2" w:rsidRPr="006138C2" w:rsidRDefault="006138C2" w:rsidP="006138C2">
      <w:pPr>
        <w:contextualSpacing/>
        <w:rPr>
          <w:rFonts w:cs="David"/>
          <w:rtl/>
        </w:rPr>
      </w:pPr>
      <w:r w:rsidRPr="006138C2">
        <w:rPr>
          <w:rFonts w:cs="David"/>
          <w:rtl/>
        </w:rPr>
        <w:t>האם ניתן לומר שראובן אינו חייב ללכת לדין-תורה מהטעמים הבאים:</w:t>
      </w:r>
    </w:p>
    <w:p w14:paraId="778DBF9C" w14:textId="77777777" w:rsidR="006138C2" w:rsidRPr="006138C2" w:rsidRDefault="006138C2" w:rsidP="006138C2">
      <w:pPr>
        <w:numPr>
          <w:ilvl w:val="0"/>
          <w:numId w:val="45"/>
        </w:numPr>
        <w:contextualSpacing/>
        <w:rPr>
          <w:rFonts w:cs="David"/>
          <w:rtl/>
        </w:rPr>
      </w:pPr>
      <w:r w:rsidRPr="006138C2">
        <w:rPr>
          <w:rFonts w:cs="David"/>
          <w:rtl/>
        </w:rPr>
        <w:t>לוי ידוע כאדם אלים, וברגע שראובן מבטל את תביעתו, מותר ללוי להתקרב אליו או לביתו.</w:t>
      </w:r>
    </w:p>
    <w:p w14:paraId="13FCB6B1" w14:textId="77777777" w:rsidR="006138C2" w:rsidRPr="006138C2" w:rsidRDefault="006138C2" w:rsidP="006138C2">
      <w:pPr>
        <w:numPr>
          <w:ilvl w:val="0"/>
          <w:numId w:val="45"/>
        </w:numPr>
        <w:contextualSpacing/>
        <w:rPr>
          <w:rFonts w:cs="David"/>
          <w:rtl/>
        </w:rPr>
      </w:pPr>
      <w:r w:rsidRPr="006138C2">
        <w:rPr>
          <w:rFonts w:cs="David"/>
          <w:rtl/>
        </w:rPr>
        <w:t>אחרי שהם כבר דנים בבית-המשפט, זה נחשב ששני הצדדים הסכימו לבית- משפט.</w:t>
      </w:r>
    </w:p>
    <w:p w14:paraId="60F950E2" w14:textId="77777777" w:rsidR="006138C2" w:rsidRPr="006138C2" w:rsidRDefault="006138C2" w:rsidP="006138C2">
      <w:pPr>
        <w:contextualSpacing/>
        <w:rPr>
          <w:rFonts w:cs="David"/>
          <w:rtl/>
        </w:rPr>
      </w:pPr>
    </w:p>
    <w:p w14:paraId="57A0CADD" w14:textId="77777777" w:rsidR="006138C2" w:rsidRPr="006138C2" w:rsidRDefault="006138C2" w:rsidP="006138C2">
      <w:pPr>
        <w:contextualSpacing/>
        <w:rPr>
          <w:rFonts w:cs="David"/>
          <w:rtl/>
        </w:rPr>
      </w:pPr>
      <w:r w:rsidRPr="006138C2">
        <w:rPr>
          <w:rFonts w:cs="David"/>
          <w:rtl/>
        </w:rPr>
        <w:t>האם חייבים ללכת לדין-תורה או שיכולים להמשיך לדון בבית-המשפט?</w:t>
      </w:r>
    </w:p>
    <w:p w14:paraId="4E93552E" w14:textId="77777777" w:rsidR="006138C2" w:rsidRPr="006138C2" w:rsidRDefault="006138C2" w:rsidP="006138C2">
      <w:pPr>
        <w:contextualSpacing/>
        <w:rPr>
          <w:rFonts w:cs="David"/>
          <w:rtl/>
        </w:rPr>
      </w:pPr>
    </w:p>
    <w:p w14:paraId="053797D6" w14:textId="77777777" w:rsidR="006138C2" w:rsidRPr="006138C2" w:rsidRDefault="006138C2" w:rsidP="006138C2">
      <w:pPr>
        <w:contextualSpacing/>
        <w:rPr>
          <w:rFonts w:cs="David"/>
          <w:b/>
          <w:bCs/>
          <w:sz w:val="26"/>
          <w:szCs w:val="26"/>
          <w:rtl/>
        </w:rPr>
      </w:pPr>
      <w:r w:rsidRPr="006138C2">
        <w:rPr>
          <w:rFonts w:cs="David"/>
          <w:b/>
          <w:bCs/>
          <w:sz w:val="26"/>
          <w:szCs w:val="26"/>
          <w:rtl/>
        </w:rPr>
        <w:t>תשובה</w:t>
      </w:r>
    </w:p>
    <w:p w14:paraId="40C8A337" w14:textId="77777777" w:rsidR="006138C2" w:rsidRPr="006138C2" w:rsidRDefault="006138C2" w:rsidP="006138C2">
      <w:pPr>
        <w:contextualSpacing/>
        <w:rPr>
          <w:rFonts w:cs="David"/>
          <w:rtl/>
        </w:rPr>
      </w:pPr>
      <w:r w:rsidRPr="006138C2">
        <w:rPr>
          <w:rFonts w:cs="David"/>
          <w:rtl/>
        </w:rPr>
        <w:t>לפי התיאור שכתבת, לא רק לוי עשה שלא כהוגן, אלא גם ראובן היה צריך לפנות עם תביעתו לבית-דין, ולא לתבוע תביעה כספית</w:t>
      </w:r>
      <w:r w:rsidRPr="006138C2">
        <w:rPr>
          <w:rFonts w:cs="David" w:hint="cs"/>
          <w:vertAlign w:val="superscript"/>
          <w:rtl/>
        </w:rPr>
        <w:t>1</w:t>
      </w:r>
      <w:r w:rsidRPr="006138C2">
        <w:rPr>
          <w:rFonts w:cs="David"/>
          <w:rtl/>
        </w:rPr>
        <w:t xml:space="preserve"> בערכאות</w:t>
      </w:r>
      <w:r w:rsidRPr="006138C2">
        <w:rPr>
          <w:rFonts w:cs="David" w:hint="cs"/>
          <w:vertAlign w:val="superscript"/>
          <w:rtl/>
        </w:rPr>
        <w:t>2</w:t>
      </w:r>
      <w:r w:rsidRPr="006138C2">
        <w:rPr>
          <w:rFonts w:cs="David"/>
          <w:rtl/>
        </w:rPr>
        <w:t>, אלא אם כן קיבל היתר מפורש מבית-הדין לעשות כן</w:t>
      </w:r>
      <w:r w:rsidRPr="006138C2">
        <w:rPr>
          <w:rFonts w:cs="David" w:hint="cs"/>
          <w:vertAlign w:val="superscript"/>
          <w:rtl/>
        </w:rPr>
        <w:t>3</w:t>
      </w:r>
      <w:r w:rsidRPr="006138C2">
        <w:rPr>
          <w:rFonts w:cs="David"/>
          <w:rtl/>
        </w:rPr>
        <w:t>. בדיעבד, כשהפסקת המשפט בערכאות כרוכה בהפסד ואף בספק סכנה, אין הוא חייב לעצור את התהליך</w:t>
      </w:r>
      <w:r w:rsidRPr="006138C2">
        <w:rPr>
          <w:rFonts w:cs="David" w:hint="cs"/>
          <w:vertAlign w:val="superscript"/>
          <w:rtl/>
        </w:rPr>
        <w:t>4</w:t>
      </w:r>
      <w:r w:rsidRPr="006138C2">
        <w:rPr>
          <w:rFonts w:cs="David"/>
          <w:rtl/>
        </w:rPr>
        <w:t xml:space="preserve">, אבל עליו לפנות לבית-הדין בבקשה להתיר לו </w:t>
      </w:r>
      <w:proofErr w:type="spellStart"/>
      <w:r w:rsidRPr="006138C2">
        <w:rPr>
          <w:rFonts w:cs="David"/>
          <w:rtl/>
        </w:rPr>
        <w:t>לידון</w:t>
      </w:r>
      <w:proofErr w:type="spellEnd"/>
      <w:r w:rsidRPr="006138C2">
        <w:rPr>
          <w:rFonts w:cs="David"/>
          <w:rtl/>
        </w:rPr>
        <w:t xml:space="preserve"> בערכאות. אם אפשר לעכב את המשפט, מה טוב; אם לאו, אפשר לעבוד במקביל. אין צריך לומר בבית-המשפט שמשתמשים במערכת משפטית חלופית, ואם </w:t>
      </w:r>
      <w:proofErr w:type="spellStart"/>
      <w:r w:rsidRPr="006138C2">
        <w:rPr>
          <w:rFonts w:cs="David"/>
          <w:rtl/>
        </w:rPr>
        <w:t>יוודע</w:t>
      </w:r>
      <w:proofErr w:type="spellEnd"/>
      <w:r w:rsidRPr="006138C2">
        <w:rPr>
          <w:rFonts w:cs="David"/>
          <w:rtl/>
        </w:rPr>
        <w:t xml:space="preserve"> להם על ההליכה לבית-הדין, אפשר להסביר שזו התייעצות רבנית דתית, אם כדאי לגמור את הסכסוך באופן המשפטי הרגיל או אופן אחר.</w:t>
      </w:r>
    </w:p>
    <w:p w14:paraId="6C2A50D7" w14:textId="77777777" w:rsidR="006138C2" w:rsidRPr="006138C2" w:rsidRDefault="006138C2" w:rsidP="006138C2">
      <w:pPr>
        <w:contextualSpacing/>
        <w:rPr>
          <w:rFonts w:cs="David"/>
          <w:rtl/>
        </w:rPr>
      </w:pPr>
      <w:r w:rsidRPr="006138C2">
        <w:rPr>
          <w:rFonts w:cs="David"/>
          <w:rtl/>
        </w:rPr>
        <w:t>על בית-הדין לקבוע, אם ראובן יכול להמשיך את המשפט בערכאות, וכן אם יש לו על-פי דין-תורה זכות בכסף שהערכאות עומדים לפסוק או כבר פסקו לטובתו</w:t>
      </w:r>
      <w:r w:rsidRPr="006138C2">
        <w:rPr>
          <w:rFonts w:cs="David" w:hint="cs"/>
          <w:vertAlign w:val="superscript"/>
          <w:rtl/>
        </w:rPr>
        <w:t>5</w:t>
      </w:r>
      <w:r w:rsidRPr="006138C2">
        <w:rPr>
          <w:rFonts w:cs="David"/>
          <w:rtl/>
        </w:rPr>
        <w:t>. לא נראה שהעובדה, שלוי פנה (וכן בעבר כבר פנה פעמים רבות) לערכאות, תמנע ממנו את הזכות לדין-תורה לפחות במקרה זה, כשגם ראובן לא נרתע מלתבוע את לוי באותה הצורה</w:t>
      </w:r>
      <w:r w:rsidRPr="006138C2">
        <w:rPr>
          <w:rFonts w:cs="David" w:hint="cs"/>
          <w:vertAlign w:val="superscript"/>
          <w:rtl/>
        </w:rPr>
        <w:t>6</w:t>
      </w:r>
      <w:r w:rsidRPr="006138C2">
        <w:rPr>
          <w:rFonts w:cs="David"/>
          <w:rtl/>
        </w:rPr>
        <w:t xml:space="preserve">. מאידך, יש סיכוי טוב שאחרי חקירת הנושא, בית-הדין </w:t>
      </w:r>
      <w:proofErr w:type="spellStart"/>
      <w:r w:rsidRPr="006138C2">
        <w:rPr>
          <w:rFonts w:cs="David"/>
          <w:rtl/>
        </w:rPr>
        <w:t>יקח</w:t>
      </w:r>
      <w:proofErr w:type="spellEnd"/>
      <w:r w:rsidRPr="006138C2">
        <w:rPr>
          <w:rFonts w:cs="David"/>
          <w:rtl/>
        </w:rPr>
        <w:t xml:space="preserve"> בחשבון את הרקע למעשה</w:t>
      </w:r>
      <w:r w:rsidRPr="006138C2">
        <w:rPr>
          <w:rFonts w:cs="David" w:hint="cs"/>
          <w:vertAlign w:val="superscript"/>
          <w:rtl/>
        </w:rPr>
        <w:t>7</w:t>
      </w:r>
      <w:r w:rsidRPr="006138C2">
        <w:rPr>
          <w:rFonts w:cs="David"/>
          <w:rtl/>
        </w:rPr>
        <w:t xml:space="preserve"> ויקבע שמעשי לוי הם התחמקות, ולא רצון לציית לבית-דין</w:t>
      </w:r>
      <w:r w:rsidRPr="006138C2">
        <w:rPr>
          <w:rFonts w:cs="David" w:hint="cs"/>
          <w:vertAlign w:val="superscript"/>
          <w:rtl/>
        </w:rPr>
        <w:t>8</w:t>
      </w:r>
      <w:r w:rsidRPr="006138C2">
        <w:rPr>
          <w:rFonts w:cs="David"/>
          <w:rtl/>
        </w:rPr>
        <w:t>. על כל פנים, אין בעל-דין או כל גורם אחר שאינו יושב בבית-דין כשר לדון בנושא ולקבוע קביעות אלה</w:t>
      </w:r>
      <w:r w:rsidRPr="006138C2">
        <w:rPr>
          <w:rFonts w:cs="David" w:hint="cs"/>
          <w:vertAlign w:val="superscript"/>
          <w:rtl/>
        </w:rPr>
        <w:t>9</w:t>
      </w:r>
      <w:r w:rsidRPr="006138C2">
        <w:rPr>
          <w:rFonts w:cs="David"/>
          <w:rtl/>
        </w:rPr>
        <w:t>.</w:t>
      </w:r>
    </w:p>
    <w:p w14:paraId="2E6C3C78" w14:textId="77777777" w:rsidR="006138C2" w:rsidRPr="006138C2" w:rsidRDefault="006138C2" w:rsidP="006138C2">
      <w:pPr>
        <w:contextualSpacing/>
        <w:rPr>
          <w:rFonts w:cs="David"/>
          <w:rtl/>
        </w:rPr>
      </w:pPr>
      <w:r w:rsidRPr="006138C2">
        <w:rPr>
          <w:rFonts w:cs="David"/>
          <w:rtl/>
        </w:rPr>
        <w:lastRenderedPageBreak/>
        <w:t xml:space="preserve">הצעתו של הרב דהוי כאלו שני הצדדים הסכימו לדיון בבית-משפט, לא תעזור, כי </w:t>
      </w:r>
      <w:proofErr w:type="spellStart"/>
      <w:r w:rsidRPr="006138C2">
        <w:rPr>
          <w:rFonts w:cs="David"/>
          <w:rtl/>
        </w:rPr>
        <w:t>השו"ע</w:t>
      </w:r>
      <w:proofErr w:type="spellEnd"/>
      <w:r w:rsidRPr="006138C2">
        <w:rPr>
          <w:rFonts w:cs="David"/>
          <w:rtl/>
        </w:rPr>
        <w:t xml:space="preserve"> אומר, שגם אם קיבלו עליהם בפירוש בקניין, אינו כלום</w:t>
      </w:r>
      <w:r w:rsidRPr="006138C2">
        <w:rPr>
          <w:rFonts w:cs="David" w:hint="cs"/>
          <w:vertAlign w:val="superscript"/>
          <w:rtl/>
        </w:rPr>
        <w:t>10</w:t>
      </w:r>
      <w:r w:rsidRPr="006138C2">
        <w:rPr>
          <w:rFonts w:cs="David"/>
          <w:rtl/>
        </w:rPr>
        <w:t>.</w:t>
      </w:r>
    </w:p>
    <w:p w14:paraId="0958A4E2" w14:textId="77777777" w:rsidR="006138C2" w:rsidRPr="006138C2" w:rsidRDefault="006138C2" w:rsidP="006138C2">
      <w:pPr>
        <w:contextualSpacing/>
        <w:rPr>
          <w:rFonts w:cs="David"/>
          <w:rtl/>
        </w:rPr>
      </w:pPr>
    </w:p>
    <w:p w14:paraId="28BA2B0C" w14:textId="77777777" w:rsidR="006138C2" w:rsidRPr="006138C2" w:rsidRDefault="006138C2" w:rsidP="006138C2">
      <w:pPr>
        <w:contextualSpacing/>
        <w:rPr>
          <w:rFonts w:cs="David"/>
          <w:sz w:val="10"/>
          <w:szCs w:val="10"/>
          <w:rtl/>
        </w:rPr>
      </w:pPr>
      <w:r w:rsidRPr="006138C2">
        <w:rPr>
          <w:rFonts w:cs="David" w:hint="cs"/>
          <w:sz w:val="10"/>
          <w:szCs w:val="10"/>
          <w:rtl/>
        </w:rPr>
        <w:t>___________________________________________________</w:t>
      </w:r>
    </w:p>
    <w:p w14:paraId="09124700" w14:textId="77777777" w:rsidR="006138C2" w:rsidRPr="006138C2" w:rsidRDefault="006138C2" w:rsidP="006138C2">
      <w:pPr>
        <w:contextualSpacing/>
        <w:rPr>
          <w:rFonts w:cs="David"/>
          <w:sz w:val="10"/>
          <w:szCs w:val="10"/>
          <w:rtl/>
        </w:rPr>
      </w:pPr>
    </w:p>
    <w:p w14:paraId="1D3A8419" w14:textId="77777777" w:rsidR="006138C2" w:rsidRPr="006138C2" w:rsidRDefault="006138C2" w:rsidP="006138C2">
      <w:pPr>
        <w:ind w:left="283" w:right="227" w:hanging="283"/>
        <w:contextualSpacing/>
        <w:rPr>
          <w:rFonts w:cs="David"/>
          <w:sz w:val="22"/>
          <w:szCs w:val="22"/>
          <w:rtl/>
        </w:rPr>
      </w:pPr>
      <w:r w:rsidRPr="006138C2">
        <w:rPr>
          <w:rFonts w:cs="David" w:hint="cs"/>
          <w:sz w:val="22"/>
          <w:szCs w:val="22"/>
          <w:vertAlign w:val="superscript"/>
          <w:rtl/>
        </w:rPr>
        <w:t>1</w:t>
      </w:r>
      <w:r w:rsidRPr="006138C2">
        <w:rPr>
          <w:rFonts w:cs="David"/>
          <w:sz w:val="22"/>
          <w:szCs w:val="22"/>
          <w:rtl/>
        </w:rPr>
        <w:t xml:space="preserve">  </w:t>
      </w:r>
      <w:r w:rsidRPr="006138C2">
        <w:rPr>
          <w:rFonts w:cs="David"/>
          <w:sz w:val="22"/>
          <w:szCs w:val="22"/>
          <w:rtl/>
        </w:rPr>
        <w:tab/>
        <w:t xml:space="preserve">לגבי הבקשה לצו מניעה לשמור על נפשו </w:t>
      </w:r>
      <w:r w:rsidRPr="006138C2">
        <w:rPr>
          <w:rFonts w:cs="David"/>
          <w:sz w:val="22"/>
          <w:szCs w:val="22"/>
        </w:rPr>
        <w:t>–</w:t>
      </w:r>
      <w:r w:rsidRPr="006138C2">
        <w:rPr>
          <w:rFonts w:cs="David"/>
          <w:sz w:val="22"/>
          <w:szCs w:val="22"/>
          <w:rtl/>
        </w:rPr>
        <w:t xml:space="preserve"> לא נראה שיש בזה בעיה, הן בגלל סכנת נפשות, הן בגלל שזה מתפקידה של המערכת המשפטית המקומית לתת הנחיות לזרוע המשטרתית, וזה </w:t>
      </w:r>
      <w:proofErr w:type="spellStart"/>
      <w:r w:rsidRPr="006138C2">
        <w:rPr>
          <w:rFonts w:cs="David"/>
          <w:sz w:val="22"/>
          <w:szCs w:val="22"/>
          <w:rtl/>
        </w:rPr>
        <w:t>בודאי</w:t>
      </w:r>
      <w:proofErr w:type="spellEnd"/>
      <w:r w:rsidRPr="006138C2">
        <w:rPr>
          <w:rFonts w:cs="David"/>
          <w:sz w:val="22"/>
          <w:szCs w:val="22"/>
          <w:rtl/>
        </w:rPr>
        <w:t xml:space="preserve"> בכלל "</w:t>
      </w:r>
      <w:proofErr w:type="spellStart"/>
      <w:r w:rsidRPr="006138C2">
        <w:rPr>
          <w:rFonts w:cs="David"/>
          <w:sz w:val="22"/>
          <w:szCs w:val="22"/>
          <w:rtl/>
        </w:rPr>
        <w:t>דינא</w:t>
      </w:r>
      <w:proofErr w:type="spellEnd"/>
      <w:r w:rsidRPr="006138C2">
        <w:rPr>
          <w:rFonts w:cs="David"/>
          <w:sz w:val="22"/>
          <w:szCs w:val="22"/>
          <w:rtl/>
        </w:rPr>
        <w:t xml:space="preserve"> </w:t>
      </w:r>
      <w:proofErr w:type="spellStart"/>
      <w:r w:rsidRPr="006138C2">
        <w:rPr>
          <w:rFonts w:cs="David"/>
          <w:sz w:val="22"/>
          <w:szCs w:val="22"/>
          <w:rtl/>
        </w:rPr>
        <w:t>דמלכותא</w:t>
      </w:r>
      <w:proofErr w:type="spellEnd"/>
      <w:r w:rsidRPr="006138C2">
        <w:rPr>
          <w:rFonts w:cs="David"/>
          <w:sz w:val="22"/>
          <w:szCs w:val="22"/>
          <w:rtl/>
        </w:rPr>
        <w:t xml:space="preserve"> </w:t>
      </w:r>
      <w:proofErr w:type="spellStart"/>
      <w:r w:rsidRPr="006138C2">
        <w:rPr>
          <w:rFonts w:cs="David"/>
          <w:sz w:val="22"/>
          <w:szCs w:val="22"/>
          <w:rtl/>
        </w:rPr>
        <w:t>דינא</w:t>
      </w:r>
      <w:proofErr w:type="spellEnd"/>
      <w:r w:rsidRPr="006138C2">
        <w:rPr>
          <w:rFonts w:cs="David"/>
          <w:sz w:val="22"/>
          <w:szCs w:val="22"/>
          <w:rtl/>
        </w:rPr>
        <w:t>".</w:t>
      </w:r>
    </w:p>
    <w:p w14:paraId="68EA764A" w14:textId="77777777" w:rsidR="006138C2" w:rsidRPr="006138C2" w:rsidRDefault="006138C2" w:rsidP="006138C2">
      <w:pPr>
        <w:ind w:left="283" w:right="227" w:hanging="283"/>
        <w:contextualSpacing/>
        <w:rPr>
          <w:rFonts w:cs="David"/>
          <w:sz w:val="22"/>
          <w:szCs w:val="22"/>
          <w:rtl/>
        </w:rPr>
      </w:pPr>
      <w:r w:rsidRPr="006138C2">
        <w:rPr>
          <w:rFonts w:cs="David" w:hint="cs"/>
          <w:sz w:val="22"/>
          <w:szCs w:val="22"/>
          <w:vertAlign w:val="superscript"/>
          <w:rtl/>
        </w:rPr>
        <w:t>2</w:t>
      </w:r>
      <w:r w:rsidRPr="006138C2">
        <w:rPr>
          <w:rFonts w:cs="David"/>
          <w:sz w:val="22"/>
          <w:szCs w:val="22"/>
          <w:rtl/>
        </w:rPr>
        <w:t xml:space="preserve">  </w:t>
      </w:r>
      <w:r w:rsidRPr="006138C2">
        <w:rPr>
          <w:rFonts w:cs="David"/>
          <w:sz w:val="22"/>
          <w:szCs w:val="22"/>
          <w:rtl/>
        </w:rPr>
        <w:tab/>
        <w:t xml:space="preserve">חו"מ סי' </w:t>
      </w:r>
      <w:proofErr w:type="spellStart"/>
      <w:r w:rsidRPr="006138C2">
        <w:rPr>
          <w:rFonts w:cs="David"/>
          <w:sz w:val="22"/>
          <w:szCs w:val="22"/>
          <w:rtl/>
        </w:rPr>
        <w:t>כו</w:t>
      </w:r>
      <w:proofErr w:type="spellEnd"/>
      <w:r w:rsidRPr="006138C2">
        <w:rPr>
          <w:rFonts w:cs="David"/>
          <w:sz w:val="22"/>
          <w:szCs w:val="22"/>
          <w:rtl/>
        </w:rPr>
        <w:t xml:space="preserve"> סעיף א.</w:t>
      </w:r>
    </w:p>
    <w:p w14:paraId="05C8F277" w14:textId="77777777" w:rsidR="006138C2" w:rsidRPr="006138C2" w:rsidRDefault="006138C2" w:rsidP="006138C2">
      <w:pPr>
        <w:ind w:left="283" w:right="227" w:hanging="283"/>
        <w:contextualSpacing/>
        <w:rPr>
          <w:rFonts w:cs="David"/>
          <w:sz w:val="22"/>
          <w:szCs w:val="22"/>
          <w:rtl/>
        </w:rPr>
      </w:pPr>
      <w:r w:rsidRPr="006138C2">
        <w:rPr>
          <w:rFonts w:cs="David" w:hint="cs"/>
          <w:sz w:val="22"/>
          <w:szCs w:val="22"/>
          <w:vertAlign w:val="superscript"/>
          <w:rtl/>
        </w:rPr>
        <w:t>3</w:t>
      </w:r>
      <w:r w:rsidRPr="006138C2">
        <w:rPr>
          <w:rFonts w:cs="David"/>
          <w:sz w:val="22"/>
          <w:szCs w:val="22"/>
          <w:rtl/>
        </w:rPr>
        <w:t xml:space="preserve">  שם סעיף ב.</w:t>
      </w:r>
    </w:p>
    <w:p w14:paraId="090A8332" w14:textId="77777777" w:rsidR="006138C2" w:rsidRPr="006138C2" w:rsidRDefault="006138C2" w:rsidP="006138C2">
      <w:pPr>
        <w:ind w:left="283" w:right="227" w:hanging="283"/>
        <w:contextualSpacing/>
        <w:rPr>
          <w:rFonts w:cs="David"/>
          <w:sz w:val="22"/>
          <w:szCs w:val="22"/>
          <w:rtl/>
        </w:rPr>
      </w:pPr>
      <w:r w:rsidRPr="006138C2">
        <w:rPr>
          <w:rFonts w:cs="David" w:hint="cs"/>
          <w:sz w:val="22"/>
          <w:szCs w:val="22"/>
          <w:vertAlign w:val="superscript"/>
          <w:rtl/>
        </w:rPr>
        <w:t>4</w:t>
      </w:r>
      <w:r w:rsidRPr="006138C2">
        <w:rPr>
          <w:rFonts w:cs="David"/>
          <w:sz w:val="22"/>
          <w:szCs w:val="22"/>
          <w:rtl/>
        </w:rPr>
        <w:t xml:space="preserve">  </w:t>
      </w:r>
      <w:r w:rsidRPr="006138C2">
        <w:rPr>
          <w:rFonts w:cs="David"/>
          <w:sz w:val="22"/>
          <w:szCs w:val="22"/>
          <w:rtl/>
        </w:rPr>
        <w:tab/>
        <w:t xml:space="preserve">מצאנו דעה המתירה לפנות לערכאות </w:t>
      </w:r>
      <w:r w:rsidRPr="006138C2">
        <w:rPr>
          <w:rFonts w:cs="David"/>
          <w:sz w:val="22"/>
          <w:szCs w:val="22"/>
        </w:rPr>
        <w:t>–</w:t>
      </w:r>
      <w:r w:rsidRPr="006138C2">
        <w:rPr>
          <w:rFonts w:cs="David"/>
          <w:sz w:val="22"/>
          <w:szCs w:val="22"/>
          <w:rtl/>
        </w:rPr>
        <w:t xml:space="preserve"> </w:t>
      </w:r>
      <w:proofErr w:type="spellStart"/>
      <w:r w:rsidRPr="006138C2">
        <w:rPr>
          <w:rFonts w:cs="David"/>
          <w:sz w:val="22"/>
          <w:szCs w:val="22"/>
          <w:rtl/>
        </w:rPr>
        <w:t>כשיווצר</w:t>
      </w:r>
      <w:proofErr w:type="spellEnd"/>
      <w:r w:rsidRPr="006138C2">
        <w:rPr>
          <w:rFonts w:cs="David"/>
          <w:sz w:val="22"/>
          <w:szCs w:val="22"/>
          <w:rtl/>
        </w:rPr>
        <w:t xml:space="preserve"> הפסד, אם יחכה לטיפולו של בית-הדין. עיין </w:t>
      </w:r>
      <w:proofErr w:type="spellStart"/>
      <w:r w:rsidRPr="006138C2">
        <w:rPr>
          <w:rFonts w:cs="David"/>
          <w:sz w:val="22"/>
          <w:szCs w:val="22"/>
          <w:rtl/>
        </w:rPr>
        <w:t>ברמ"ע</w:t>
      </w:r>
      <w:proofErr w:type="spellEnd"/>
      <w:r w:rsidRPr="006138C2">
        <w:rPr>
          <w:rFonts w:cs="David"/>
          <w:sz w:val="22"/>
          <w:szCs w:val="22"/>
          <w:rtl/>
        </w:rPr>
        <w:t xml:space="preserve"> </w:t>
      </w:r>
      <w:proofErr w:type="spellStart"/>
      <w:r w:rsidRPr="006138C2">
        <w:rPr>
          <w:rFonts w:cs="David"/>
          <w:sz w:val="22"/>
          <w:szCs w:val="22"/>
          <w:rtl/>
        </w:rPr>
        <w:t>מפאנו</w:t>
      </w:r>
      <w:proofErr w:type="spellEnd"/>
      <w:r w:rsidRPr="006138C2">
        <w:rPr>
          <w:rFonts w:cs="David"/>
          <w:sz w:val="22"/>
          <w:szCs w:val="22"/>
          <w:rtl/>
        </w:rPr>
        <w:t xml:space="preserve"> (סי' נא) </w:t>
      </w:r>
      <w:proofErr w:type="spellStart"/>
      <w:r w:rsidRPr="006138C2">
        <w:rPr>
          <w:rFonts w:cs="David"/>
          <w:sz w:val="22"/>
          <w:szCs w:val="22"/>
          <w:rtl/>
        </w:rPr>
        <w:t>בענין</w:t>
      </w:r>
      <w:proofErr w:type="spellEnd"/>
      <w:r w:rsidRPr="006138C2">
        <w:rPr>
          <w:rFonts w:cs="David"/>
          <w:sz w:val="22"/>
          <w:szCs w:val="22"/>
          <w:rtl/>
        </w:rPr>
        <w:t xml:space="preserve"> הפונה לערכאות לעקל נכסי הנתבע, כשהנכסים יכלו, אם יחכה עד לדיון בבית-דין. וכן סובר </w:t>
      </w:r>
      <w:proofErr w:type="spellStart"/>
      <w:r w:rsidRPr="006138C2">
        <w:rPr>
          <w:rFonts w:cs="David"/>
          <w:sz w:val="22"/>
          <w:szCs w:val="22"/>
          <w:rtl/>
        </w:rPr>
        <w:t>הרשב"א</w:t>
      </w:r>
      <w:proofErr w:type="spellEnd"/>
      <w:r w:rsidRPr="006138C2">
        <w:rPr>
          <w:rFonts w:cs="David"/>
          <w:sz w:val="22"/>
          <w:szCs w:val="22"/>
          <w:rtl/>
        </w:rPr>
        <w:t xml:space="preserve"> בתשובה (</w:t>
      </w:r>
      <w:proofErr w:type="spellStart"/>
      <w:r w:rsidRPr="006138C2">
        <w:rPr>
          <w:rFonts w:cs="David"/>
          <w:sz w:val="22"/>
          <w:szCs w:val="22"/>
          <w:rtl/>
        </w:rPr>
        <w:t>מכת"י</w:t>
      </w:r>
      <w:proofErr w:type="spellEnd"/>
      <w:r w:rsidRPr="006138C2">
        <w:rPr>
          <w:rFonts w:cs="David"/>
          <w:sz w:val="22"/>
          <w:szCs w:val="22"/>
          <w:rtl/>
        </w:rPr>
        <w:t xml:space="preserve">, מובא ב"הלכה פסוקה", סימן </w:t>
      </w:r>
      <w:proofErr w:type="spellStart"/>
      <w:r w:rsidRPr="006138C2">
        <w:rPr>
          <w:rFonts w:cs="David"/>
          <w:sz w:val="22"/>
          <w:szCs w:val="22"/>
          <w:rtl/>
        </w:rPr>
        <w:t>כו</w:t>
      </w:r>
      <w:proofErr w:type="spellEnd"/>
      <w:r w:rsidRPr="006138C2">
        <w:rPr>
          <w:rFonts w:cs="David"/>
          <w:sz w:val="22"/>
          <w:szCs w:val="22"/>
          <w:rtl/>
        </w:rPr>
        <w:t xml:space="preserve"> הערה 59) שאין לנדות מי שפנה לערכאות בלי רשות מחשש שמא יברח הנתבע (וצ"ע אם מותר גם לכתחילה). במקרה שלנו שסביר להניח, שבית-דין יתנו לו רשות, וכל שכן כשיש חשש גדול להפסד עצום וספק סכנה, יש לסמוך על הסברות האלה. גם יש סברה לומר שלהמשיך במשפט שכבר התחיל, קל יותר, ושאין לקונסו, מכיון שבזמננו אין מודעות לאפשרות ולחיוב ללכת לבית-דין של ישראל. על כל פנים, אם אפשר - בלי הפסד שאינו הפיך - כדאי לבקש דחייה עד שיקבל רשות מבית-הדין להמשיך.</w:t>
      </w:r>
    </w:p>
    <w:p w14:paraId="7357BEF9" w14:textId="77777777" w:rsidR="006138C2" w:rsidRPr="006138C2" w:rsidRDefault="006138C2" w:rsidP="006138C2">
      <w:pPr>
        <w:ind w:left="283" w:right="227" w:hanging="283"/>
        <w:contextualSpacing/>
        <w:rPr>
          <w:rFonts w:cs="David"/>
          <w:sz w:val="22"/>
          <w:szCs w:val="22"/>
          <w:rtl/>
        </w:rPr>
      </w:pPr>
      <w:r w:rsidRPr="006138C2">
        <w:rPr>
          <w:rFonts w:cs="David" w:hint="cs"/>
          <w:sz w:val="22"/>
          <w:szCs w:val="22"/>
          <w:vertAlign w:val="superscript"/>
          <w:rtl/>
        </w:rPr>
        <w:t>5</w:t>
      </w:r>
      <w:r w:rsidRPr="006138C2">
        <w:rPr>
          <w:rFonts w:cs="David"/>
          <w:sz w:val="22"/>
          <w:szCs w:val="22"/>
          <w:rtl/>
        </w:rPr>
        <w:t xml:space="preserve">  </w:t>
      </w:r>
      <w:r w:rsidRPr="006138C2">
        <w:rPr>
          <w:rFonts w:cs="David"/>
          <w:sz w:val="22"/>
          <w:szCs w:val="22"/>
          <w:rtl/>
        </w:rPr>
        <w:tab/>
        <w:t xml:space="preserve">ההיתר לדון בערכאות אינו מיועד לגרום לאימוץ דיני עכו"ם במקרה הצורך, אלא כדי להבטיח את </w:t>
      </w:r>
      <w:proofErr w:type="spellStart"/>
      <w:r w:rsidRPr="006138C2">
        <w:rPr>
          <w:rFonts w:cs="David"/>
          <w:sz w:val="22"/>
          <w:szCs w:val="22"/>
          <w:rtl/>
        </w:rPr>
        <w:t>זכותיו</w:t>
      </w:r>
      <w:proofErr w:type="spellEnd"/>
      <w:r w:rsidRPr="006138C2">
        <w:rPr>
          <w:rFonts w:cs="David"/>
          <w:sz w:val="22"/>
          <w:szCs w:val="22"/>
          <w:rtl/>
        </w:rPr>
        <w:t xml:space="preserve"> </w:t>
      </w:r>
      <w:proofErr w:type="spellStart"/>
      <w:r w:rsidRPr="006138C2">
        <w:rPr>
          <w:rFonts w:cs="David"/>
          <w:sz w:val="22"/>
          <w:szCs w:val="22"/>
          <w:rtl/>
        </w:rPr>
        <w:t>הדיניות</w:t>
      </w:r>
      <w:proofErr w:type="spellEnd"/>
      <w:r w:rsidRPr="006138C2">
        <w:rPr>
          <w:rFonts w:cs="David"/>
          <w:sz w:val="22"/>
          <w:szCs w:val="22"/>
          <w:rtl/>
        </w:rPr>
        <w:t xml:space="preserve"> על-פי דין-תורה, ועיין על זה ב"נתיבות המשפט" (שם </w:t>
      </w:r>
      <w:proofErr w:type="spellStart"/>
      <w:r w:rsidRPr="006138C2">
        <w:rPr>
          <w:rFonts w:cs="David"/>
          <w:sz w:val="22"/>
          <w:szCs w:val="22"/>
          <w:rtl/>
        </w:rPr>
        <w:t>ס"ק</w:t>
      </w:r>
      <w:proofErr w:type="spellEnd"/>
      <w:r w:rsidRPr="006138C2">
        <w:rPr>
          <w:rFonts w:cs="David"/>
          <w:sz w:val="22"/>
          <w:szCs w:val="22"/>
          <w:rtl/>
        </w:rPr>
        <w:t xml:space="preserve"> ג) בכסף הקדשים </w:t>
      </w:r>
      <w:proofErr w:type="spellStart"/>
      <w:r w:rsidRPr="006138C2">
        <w:rPr>
          <w:rFonts w:cs="David"/>
          <w:sz w:val="22"/>
          <w:szCs w:val="22"/>
          <w:rtl/>
        </w:rPr>
        <w:t>וב"ערוך</w:t>
      </w:r>
      <w:proofErr w:type="spellEnd"/>
      <w:r w:rsidRPr="006138C2">
        <w:rPr>
          <w:rFonts w:cs="David"/>
          <w:sz w:val="22"/>
          <w:szCs w:val="22"/>
          <w:rtl/>
        </w:rPr>
        <w:t xml:space="preserve"> השלחן" (שם סעיף ב), אם צריך בית-דין לברר שהנתבע חייב לתובע, או שמספיק שנראה להם, שיש לתובע תביעה חזקה על המסרב. על בית-הדין להכריע, בין היתר, גם בשאלה זו. אם יגבה על-פי הכרעת בית-המשפט כסף יותר ממה שמגיע לו על-פי דין-תורה, הרי זה גזל בידו.</w:t>
      </w:r>
    </w:p>
    <w:p w14:paraId="08463DF0" w14:textId="77777777" w:rsidR="006138C2" w:rsidRPr="006138C2" w:rsidRDefault="006138C2" w:rsidP="006138C2">
      <w:pPr>
        <w:ind w:left="283" w:right="227" w:hanging="283"/>
        <w:contextualSpacing/>
        <w:rPr>
          <w:rFonts w:cs="David"/>
          <w:sz w:val="22"/>
          <w:szCs w:val="22"/>
          <w:rtl/>
        </w:rPr>
      </w:pPr>
      <w:r w:rsidRPr="006138C2">
        <w:rPr>
          <w:rFonts w:cs="David" w:hint="cs"/>
          <w:sz w:val="22"/>
          <w:szCs w:val="22"/>
          <w:vertAlign w:val="superscript"/>
          <w:rtl/>
        </w:rPr>
        <w:t>6</w:t>
      </w:r>
      <w:r w:rsidRPr="006138C2">
        <w:rPr>
          <w:rFonts w:cs="David"/>
          <w:sz w:val="22"/>
          <w:szCs w:val="22"/>
          <w:rtl/>
        </w:rPr>
        <w:t xml:space="preserve">  </w:t>
      </w:r>
      <w:r w:rsidRPr="006138C2">
        <w:rPr>
          <w:rFonts w:cs="David"/>
          <w:sz w:val="22"/>
          <w:szCs w:val="22"/>
          <w:rtl/>
        </w:rPr>
        <w:tab/>
        <w:t xml:space="preserve">זה לשון </w:t>
      </w:r>
      <w:proofErr w:type="spellStart"/>
      <w:r w:rsidRPr="006138C2">
        <w:rPr>
          <w:rFonts w:cs="David"/>
          <w:sz w:val="22"/>
          <w:szCs w:val="22"/>
          <w:rtl/>
        </w:rPr>
        <w:t>הרמ"א</w:t>
      </w:r>
      <w:proofErr w:type="spellEnd"/>
      <w:r w:rsidRPr="006138C2">
        <w:rPr>
          <w:rFonts w:cs="David"/>
          <w:sz w:val="22"/>
          <w:szCs w:val="22"/>
          <w:rtl/>
        </w:rPr>
        <w:t xml:space="preserve"> (שם סעיף א): "מי שהלך בערכאות של עכו"ם ונתחייב בדיניהם, ואח"כ חוזר ותבעו לפני דייני ישראל, יש אומרים שאין </w:t>
      </w:r>
      <w:proofErr w:type="spellStart"/>
      <w:r w:rsidRPr="006138C2">
        <w:rPr>
          <w:rFonts w:cs="David"/>
          <w:sz w:val="22"/>
          <w:szCs w:val="22"/>
          <w:rtl/>
        </w:rPr>
        <w:t>נזקקין</w:t>
      </w:r>
      <w:proofErr w:type="spellEnd"/>
      <w:r w:rsidRPr="006138C2">
        <w:rPr>
          <w:rFonts w:cs="David"/>
          <w:sz w:val="22"/>
          <w:szCs w:val="22"/>
          <w:rtl/>
        </w:rPr>
        <w:t xml:space="preserve"> לו, ויש אומרים </w:t>
      </w:r>
      <w:proofErr w:type="spellStart"/>
      <w:r w:rsidRPr="006138C2">
        <w:rPr>
          <w:rFonts w:cs="David"/>
          <w:sz w:val="22"/>
          <w:szCs w:val="22"/>
          <w:rtl/>
        </w:rPr>
        <w:t>דנזקקין</w:t>
      </w:r>
      <w:proofErr w:type="spellEnd"/>
      <w:r w:rsidRPr="006138C2">
        <w:rPr>
          <w:rFonts w:cs="David"/>
          <w:sz w:val="22"/>
          <w:szCs w:val="22"/>
          <w:rtl/>
        </w:rPr>
        <w:t xml:space="preserve"> לו, אם לא שגרם הפסד לבעל דינו לפני עובדי </w:t>
      </w:r>
      <w:proofErr w:type="spellStart"/>
      <w:r w:rsidRPr="006138C2">
        <w:rPr>
          <w:rFonts w:cs="David"/>
          <w:sz w:val="22"/>
          <w:szCs w:val="22"/>
          <w:rtl/>
        </w:rPr>
        <w:t>כו"מ</w:t>
      </w:r>
      <w:proofErr w:type="spellEnd"/>
      <w:r w:rsidRPr="006138C2">
        <w:rPr>
          <w:rFonts w:cs="David"/>
          <w:sz w:val="22"/>
          <w:szCs w:val="22"/>
          <w:rtl/>
        </w:rPr>
        <w:t xml:space="preserve">, </w:t>
      </w:r>
      <w:proofErr w:type="spellStart"/>
      <w:r w:rsidRPr="006138C2">
        <w:rPr>
          <w:rFonts w:cs="David"/>
          <w:sz w:val="22"/>
          <w:szCs w:val="22"/>
          <w:rtl/>
        </w:rPr>
        <w:t>והסברא</w:t>
      </w:r>
      <w:proofErr w:type="spellEnd"/>
      <w:r w:rsidRPr="006138C2">
        <w:rPr>
          <w:rFonts w:cs="David"/>
          <w:sz w:val="22"/>
          <w:szCs w:val="22"/>
          <w:rtl/>
        </w:rPr>
        <w:t xml:space="preserve"> ראשונה נראית לי עיקר". ה"נתיבות" (</w:t>
      </w:r>
      <w:proofErr w:type="spellStart"/>
      <w:r w:rsidRPr="006138C2">
        <w:rPr>
          <w:rFonts w:cs="David"/>
          <w:sz w:val="22"/>
          <w:szCs w:val="22"/>
          <w:rtl/>
        </w:rPr>
        <w:t>ס"ק</w:t>
      </w:r>
      <w:proofErr w:type="spellEnd"/>
      <w:r w:rsidRPr="006138C2">
        <w:rPr>
          <w:rFonts w:cs="David"/>
          <w:sz w:val="22"/>
          <w:szCs w:val="22"/>
          <w:rtl/>
        </w:rPr>
        <w:t xml:space="preserve"> ב) מביא ב' טעמים לדין שאין </w:t>
      </w:r>
      <w:proofErr w:type="spellStart"/>
      <w:r w:rsidRPr="006138C2">
        <w:rPr>
          <w:rFonts w:cs="David"/>
          <w:sz w:val="22"/>
          <w:szCs w:val="22"/>
          <w:rtl/>
        </w:rPr>
        <w:t>נזקקין</w:t>
      </w:r>
      <w:proofErr w:type="spellEnd"/>
      <w:r w:rsidRPr="006138C2">
        <w:rPr>
          <w:rFonts w:cs="David"/>
          <w:sz w:val="22"/>
          <w:szCs w:val="22"/>
          <w:rtl/>
        </w:rPr>
        <w:t xml:space="preserve"> לו: (א) דהוי </w:t>
      </w:r>
      <w:proofErr w:type="spellStart"/>
      <w:r w:rsidRPr="006138C2">
        <w:rPr>
          <w:rFonts w:cs="David"/>
          <w:sz w:val="22"/>
          <w:szCs w:val="22"/>
          <w:rtl/>
        </w:rPr>
        <w:t>כקיבל</w:t>
      </w:r>
      <w:proofErr w:type="spellEnd"/>
      <w:r w:rsidRPr="006138C2">
        <w:rPr>
          <w:rFonts w:cs="David"/>
          <w:sz w:val="22"/>
          <w:szCs w:val="22"/>
          <w:rtl/>
        </w:rPr>
        <w:t xml:space="preserve"> עליו קרוב או פסול, דאין יכול לחזור בו אחר גמר דין; (ב) משום קנס על שהלך לפני עכו"ם. ה"נתיבות" מצדד שהוא משום קנס, וכן מפורש </w:t>
      </w:r>
      <w:proofErr w:type="spellStart"/>
      <w:r w:rsidRPr="006138C2">
        <w:rPr>
          <w:rFonts w:cs="David"/>
          <w:sz w:val="22"/>
          <w:szCs w:val="22"/>
          <w:rtl/>
        </w:rPr>
        <w:t>בגר"א</w:t>
      </w:r>
      <w:proofErr w:type="spellEnd"/>
      <w:r w:rsidRPr="006138C2">
        <w:rPr>
          <w:rFonts w:cs="David"/>
          <w:sz w:val="22"/>
          <w:szCs w:val="22"/>
          <w:rtl/>
        </w:rPr>
        <w:t xml:space="preserve">  (שם </w:t>
      </w:r>
      <w:proofErr w:type="spellStart"/>
      <w:r w:rsidRPr="006138C2">
        <w:rPr>
          <w:rFonts w:cs="David"/>
          <w:sz w:val="22"/>
          <w:szCs w:val="22"/>
          <w:rtl/>
        </w:rPr>
        <w:t>ס"ק</w:t>
      </w:r>
      <w:proofErr w:type="spellEnd"/>
      <w:r w:rsidRPr="006138C2">
        <w:rPr>
          <w:rFonts w:cs="David"/>
          <w:sz w:val="22"/>
          <w:szCs w:val="22"/>
          <w:rtl/>
        </w:rPr>
        <w:t xml:space="preserve"> ד). אם כן בנדון דידן ששניהם אשמים בעניין זה, לא נראה לקנוס א' ויהיה הב' חוטא נשכר, ובית-דין יזקק לדינם, וכן חילק </w:t>
      </w:r>
      <w:proofErr w:type="spellStart"/>
      <w:r w:rsidRPr="006138C2">
        <w:rPr>
          <w:rFonts w:cs="David"/>
          <w:sz w:val="22"/>
          <w:szCs w:val="22"/>
          <w:rtl/>
        </w:rPr>
        <w:t>הרמ"א</w:t>
      </w:r>
      <w:proofErr w:type="spellEnd"/>
      <w:r w:rsidRPr="006138C2">
        <w:rPr>
          <w:rFonts w:cs="David"/>
          <w:sz w:val="22"/>
          <w:szCs w:val="22"/>
          <w:rtl/>
        </w:rPr>
        <w:t xml:space="preserve"> עצמו ב"דרכי משה" (שם </w:t>
      </w:r>
      <w:proofErr w:type="spellStart"/>
      <w:r w:rsidRPr="006138C2">
        <w:rPr>
          <w:rFonts w:cs="David"/>
          <w:sz w:val="22"/>
          <w:szCs w:val="22"/>
          <w:rtl/>
        </w:rPr>
        <w:t>ס"ק</w:t>
      </w:r>
      <w:proofErr w:type="spellEnd"/>
      <w:r w:rsidRPr="006138C2">
        <w:rPr>
          <w:rFonts w:cs="David"/>
          <w:sz w:val="22"/>
          <w:szCs w:val="22"/>
          <w:rtl/>
        </w:rPr>
        <w:t xml:space="preserve"> ג), ועיין גם ב"תומים" (שם </w:t>
      </w:r>
      <w:proofErr w:type="spellStart"/>
      <w:r w:rsidRPr="006138C2">
        <w:rPr>
          <w:rFonts w:cs="David"/>
          <w:sz w:val="22"/>
          <w:szCs w:val="22"/>
          <w:rtl/>
        </w:rPr>
        <w:t>ס"ק</w:t>
      </w:r>
      <w:proofErr w:type="spellEnd"/>
      <w:r w:rsidRPr="006138C2">
        <w:rPr>
          <w:rFonts w:cs="David"/>
          <w:sz w:val="22"/>
          <w:szCs w:val="22"/>
          <w:rtl/>
        </w:rPr>
        <w:t xml:space="preserve"> ב) שכל דין </w:t>
      </w:r>
      <w:proofErr w:type="spellStart"/>
      <w:r w:rsidRPr="006138C2">
        <w:rPr>
          <w:rFonts w:cs="David"/>
          <w:sz w:val="22"/>
          <w:szCs w:val="22"/>
          <w:rtl/>
        </w:rPr>
        <w:t>הרמ"א</w:t>
      </w:r>
      <w:proofErr w:type="spellEnd"/>
      <w:r w:rsidRPr="006138C2">
        <w:rPr>
          <w:rFonts w:cs="David"/>
          <w:sz w:val="22"/>
          <w:szCs w:val="22"/>
          <w:rtl/>
        </w:rPr>
        <w:t xml:space="preserve"> הוא מפוקפק, ועיין עוד ב"יביע אומר" (חלק ז חו"מ סי' ה) שגם הוא מפקפק, ואכמ"ל.</w:t>
      </w:r>
    </w:p>
    <w:p w14:paraId="09C2CDD3" w14:textId="77777777" w:rsidR="006138C2" w:rsidRPr="006138C2" w:rsidRDefault="006138C2" w:rsidP="006138C2">
      <w:pPr>
        <w:ind w:left="283" w:right="227" w:hanging="283"/>
        <w:contextualSpacing/>
        <w:rPr>
          <w:rFonts w:cs="David"/>
          <w:sz w:val="22"/>
          <w:szCs w:val="22"/>
          <w:rtl/>
        </w:rPr>
      </w:pPr>
      <w:r w:rsidRPr="006138C2">
        <w:rPr>
          <w:rFonts w:cs="David" w:hint="cs"/>
          <w:sz w:val="22"/>
          <w:szCs w:val="22"/>
          <w:vertAlign w:val="superscript"/>
          <w:rtl/>
        </w:rPr>
        <w:t>7</w:t>
      </w:r>
      <w:r w:rsidRPr="006138C2">
        <w:rPr>
          <w:rFonts w:cs="David"/>
          <w:sz w:val="22"/>
          <w:szCs w:val="22"/>
          <w:rtl/>
        </w:rPr>
        <w:t xml:space="preserve">  </w:t>
      </w:r>
      <w:r w:rsidRPr="006138C2">
        <w:rPr>
          <w:rFonts w:cs="David"/>
          <w:sz w:val="22"/>
          <w:szCs w:val="22"/>
          <w:rtl/>
        </w:rPr>
        <w:tab/>
        <w:t>"יד עכו"ם תקיפה ובעל דינו אלם ואינו יכול להציל ממנו בדיני ישראל" (שו"ע שם סעיף ב).</w:t>
      </w:r>
    </w:p>
    <w:p w14:paraId="115EBC85" w14:textId="77777777" w:rsidR="006138C2" w:rsidRPr="006138C2" w:rsidRDefault="006138C2" w:rsidP="006138C2">
      <w:pPr>
        <w:ind w:left="283" w:right="227" w:hanging="283"/>
        <w:contextualSpacing/>
        <w:rPr>
          <w:rFonts w:cs="David"/>
          <w:sz w:val="22"/>
          <w:szCs w:val="22"/>
          <w:rtl/>
        </w:rPr>
      </w:pPr>
      <w:r w:rsidRPr="006138C2">
        <w:rPr>
          <w:rFonts w:cs="David" w:hint="cs"/>
          <w:sz w:val="22"/>
          <w:szCs w:val="22"/>
          <w:vertAlign w:val="superscript"/>
          <w:rtl/>
        </w:rPr>
        <w:t>8</w:t>
      </w:r>
      <w:r w:rsidRPr="006138C2">
        <w:rPr>
          <w:rFonts w:cs="David"/>
          <w:sz w:val="22"/>
          <w:szCs w:val="22"/>
          <w:rtl/>
        </w:rPr>
        <w:t xml:space="preserve">  </w:t>
      </w:r>
      <w:r w:rsidRPr="006138C2">
        <w:rPr>
          <w:rFonts w:cs="David"/>
          <w:sz w:val="22"/>
          <w:szCs w:val="22"/>
          <w:rtl/>
        </w:rPr>
        <w:tab/>
        <w:t xml:space="preserve">עיין "ערוך השולחן" (שם סעיף ה) שבית-דין יכולים לתת רשות ללכת לפני ערכאות גם אם השני טוען, שרוצה </w:t>
      </w:r>
      <w:proofErr w:type="spellStart"/>
      <w:r w:rsidRPr="006138C2">
        <w:rPr>
          <w:rFonts w:cs="David"/>
          <w:sz w:val="22"/>
          <w:szCs w:val="22"/>
          <w:rtl/>
        </w:rPr>
        <w:t>לידון</w:t>
      </w:r>
      <w:proofErr w:type="spellEnd"/>
      <w:r w:rsidRPr="006138C2">
        <w:rPr>
          <w:rFonts w:cs="David"/>
          <w:sz w:val="22"/>
          <w:szCs w:val="22"/>
          <w:rtl/>
        </w:rPr>
        <w:t xml:space="preserve"> בבית-דין אחר, אם לפי הבנתם הוא עושה דרך דיחוי. דבר זה דומה לסברת דין מרומה, שאם הדיינים מרגישים, שלא יצא דין צדק אם יפסקו לפי הכללים הרגילים, יסלקו עצמם מן הדין (סי טו). גם בנדון דידן יכול בית-הדין להשתמש בראיות נסיבתיות ולקבוע שהוא מתחמק, שאפשר לתת לערכאות לטפל בנושא, אם יש לתובע זכות ממונית על-פי דין-תורה.</w:t>
      </w:r>
    </w:p>
    <w:p w14:paraId="7A72FBE0" w14:textId="77777777" w:rsidR="006138C2" w:rsidRPr="006138C2" w:rsidRDefault="006138C2" w:rsidP="006138C2">
      <w:pPr>
        <w:ind w:left="283" w:right="227" w:hanging="283"/>
        <w:contextualSpacing/>
        <w:rPr>
          <w:rFonts w:cs="David"/>
          <w:sz w:val="22"/>
          <w:szCs w:val="22"/>
          <w:rtl/>
        </w:rPr>
      </w:pPr>
      <w:r w:rsidRPr="006138C2">
        <w:rPr>
          <w:rFonts w:cs="David" w:hint="cs"/>
          <w:sz w:val="22"/>
          <w:szCs w:val="22"/>
          <w:vertAlign w:val="superscript"/>
          <w:rtl/>
        </w:rPr>
        <w:t>9</w:t>
      </w:r>
      <w:r w:rsidRPr="006138C2">
        <w:rPr>
          <w:rFonts w:cs="David"/>
          <w:sz w:val="22"/>
          <w:szCs w:val="22"/>
          <w:rtl/>
        </w:rPr>
        <w:t xml:space="preserve">  </w:t>
      </w:r>
      <w:r w:rsidRPr="006138C2">
        <w:rPr>
          <w:rFonts w:cs="David"/>
          <w:sz w:val="22"/>
          <w:szCs w:val="22"/>
          <w:rtl/>
        </w:rPr>
        <w:tab/>
        <w:t xml:space="preserve">פשוט הוא, ועיין </w:t>
      </w:r>
      <w:proofErr w:type="spellStart"/>
      <w:r w:rsidRPr="006138C2">
        <w:rPr>
          <w:rFonts w:cs="David"/>
          <w:sz w:val="22"/>
          <w:szCs w:val="22"/>
          <w:rtl/>
        </w:rPr>
        <w:t>בחו"מ</w:t>
      </w:r>
      <w:proofErr w:type="spellEnd"/>
      <w:r w:rsidRPr="006138C2">
        <w:rPr>
          <w:rFonts w:cs="David"/>
          <w:sz w:val="22"/>
          <w:szCs w:val="22"/>
          <w:rtl/>
        </w:rPr>
        <w:t xml:space="preserve"> (סי' </w:t>
      </w:r>
      <w:proofErr w:type="spellStart"/>
      <w:r w:rsidRPr="006138C2">
        <w:rPr>
          <w:rFonts w:cs="David"/>
          <w:sz w:val="22"/>
          <w:szCs w:val="22"/>
          <w:rtl/>
        </w:rPr>
        <w:t>יז</w:t>
      </w:r>
      <w:proofErr w:type="spellEnd"/>
      <w:r w:rsidRPr="006138C2">
        <w:rPr>
          <w:rFonts w:cs="David"/>
          <w:sz w:val="22"/>
          <w:szCs w:val="22"/>
          <w:rtl/>
        </w:rPr>
        <w:t xml:space="preserve">). יש לציין גם את דברי </w:t>
      </w:r>
      <w:proofErr w:type="spellStart"/>
      <w:r w:rsidRPr="006138C2">
        <w:rPr>
          <w:rFonts w:cs="David"/>
          <w:sz w:val="22"/>
          <w:szCs w:val="22"/>
          <w:rtl/>
        </w:rPr>
        <w:t>הרמ"א</w:t>
      </w:r>
      <w:proofErr w:type="spellEnd"/>
      <w:r w:rsidRPr="006138C2">
        <w:rPr>
          <w:rFonts w:cs="David"/>
          <w:sz w:val="22"/>
          <w:szCs w:val="22"/>
          <w:rtl/>
        </w:rPr>
        <w:t xml:space="preserve"> (שם סעיף ה): "ולא יכתוב שום חכם פסק לא' מבעלי </w:t>
      </w:r>
      <w:proofErr w:type="spellStart"/>
      <w:r w:rsidRPr="006138C2">
        <w:rPr>
          <w:rFonts w:cs="David"/>
          <w:sz w:val="22"/>
          <w:szCs w:val="22"/>
          <w:rtl/>
        </w:rPr>
        <w:t>הדינין</w:t>
      </w:r>
      <w:proofErr w:type="spellEnd"/>
      <w:r w:rsidRPr="006138C2">
        <w:rPr>
          <w:rFonts w:cs="David"/>
          <w:sz w:val="22"/>
          <w:szCs w:val="22"/>
          <w:rtl/>
        </w:rPr>
        <w:t xml:space="preserve"> בדרך אם כן או שיכתוב לו דעתו בלא פסק, כל זמן שלא שמע דברי שניהם". דין זה חל עלינו וכן על הרב, ולכן אין לדבר על סיכוייו לנצח </w:t>
      </w:r>
      <w:proofErr w:type="spellStart"/>
      <w:r w:rsidRPr="006138C2">
        <w:rPr>
          <w:rFonts w:cs="David"/>
          <w:sz w:val="22"/>
          <w:szCs w:val="22"/>
          <w:rtl/>
        </w:rPr>
        <w:t>וכו</w:t>
      </w:r>
      <w:proofErr w:type="spellEnd"/>
      <w:r w:rsidRPr="006138C2">
        <w:rPr>
          <w:rFonts w:cs="David"/>
          <w:sz w:val="22"/>
          <w:szCs w:val="22"/>
          <w:rtl/>
        </w:rPr>
        <w:t>', אלא להדריך אותו בעניין התהליך המשפטי שעליו לעבור.</w:t>
      </w:r>
    </w:p>
    <w:p w14:paraId="2835BE1B" w14:textId="77777777" w:rsidR="006138C2" w:rsidRPr="006138C2" w:rsidRDefault="006138C2" w:rsidP="006138C2">
      <w:pPr>
        <w:ind w:left="283" w:right="227" w:hanging="283"/>
        <w:contextualSpacing/>
        <w:rPr>
          <w:rFonts w:cs="David"/>
          <w:sz w:val="22"/>
          <w:szCs w:val="22"/>
          <w:rtl/>
        </w:rPr>
      </w:pPr>
      <w:r w:rsidRPr="006138C2">
        <w:rPr>
          <w:rFonts w:cs="David" w:hint="cs"/>
          <w:sz w:val="22"/>
          <w:szCs w:val="22"/>
          <w:vertAlign w:val="superscript"/>
          <w:rtl/>
        </w:rPr>
        <w:t>10</w:t>
      </w:r>
      <w:r w:rsidRPr="006138C2">
        <w:rPr>
          <w:rFonts w:cs="David"/>
          <w:sz w:val="22"/>
          <w:szCs w:val="22"/>
          <w:rtl/>
        </w:rPr>
        <w:t xml:space="preserve">  </w:t>
      </w:r>
      <w:r w:rsidRPr="006138C2">
        <w:rPr>
          <w:rFonts w:cs="David"/>
          <w:sz w:val="22"/>
          <w:szCs w:val="22"/>
          <w:rtl/>
        </w:rPr>
        <w:tab/>
        <w:t xml:space="preserve">שו"ע שם סי' </w:t>
      </w:r>
      <w:proofErr w:type="spellStart"/>
      <w:r w:rsidRPr="006138C2">
        <w:rPr>
          <w:rFonts w:cs="David"/>
          <w:sz w:val="22"/>
          <w:szCs w:val="22"/>
          <w:rtl/>
        </w:rPr>
        <w:t>כו</w:t>
      </w:r>
      <w:proofErr w:type="spellEnd"/>
      <w:r w:rsidRPr="006138C2">
        <w:rPr>
          <w:rFonts w:cs="David"/>
          <w:sz w:val="22"/>
          <w:szCs w:val="22"/>
          <w:rtl/>
        </w:rPr>
        <w:t xml:space="preserve"> סע' ג.</w:t>
      </w:r>
    </w:p>
    <w:p w14:paraId="30CAE3DB" w14:textId="77777777" w:rsidR="006138C2" w:rsidRPr="006138C2" w:rsidRDefault="006138C2" w:rsidP="006138C2">
      <w:pPr>
        <w:ind w:left="142" w:hanging="142"/>
        <w:contextualSpacing/>
        <w:rPr>
          <w:rFonts w:cs="David"/>
        </w:rPr>
      </w:pPr>
    </w:p>
    <w:p w14:paraId="72E87451" w14:textId="77777777" w:rsidR="00601083" w:rsidRPr="006138C2" w:rsidRDefault="00601083" w:rsidP="006138C2">
      <w:pPr>
        <w:ind w:left="3825"/>
        <w:contextualSpacing/>
        <w:jc w:val="center"/>
        <w:rPr>
          <w:rFonts w:cs="David"/>
          <w:rtl/>
          <w:lang w:eastAsia="he-IL"/>
        </w:rPr>
      </w:pPr>
    </w:p>
    <w:p w14:paraId="61EB0428" w14:textId="77777777" w:rsidR="006138C2" w:rsidRPr="006138C2" w:rsidRDefault="006138C2" w:rsidP="006138C2">
      <w:pPr>
        <w:ind w:left="3825"/>
        <w:jc w:val="center"/>
        <w:rPr>
          <w:rFonts w:cs="David"/>
          <w:rtl/>
          <w:lang w:eastAsia="he-IL"/>
        </w:rPr>
      </w:pPr>
      <w:r w:rsidRPr="006138C2">
        <w:rPr>
          <w:rFonts w:cs="David"/>
          <w:rtl/>
          <w:lang w:eastAsia="he-IL"/>
        </w:rPr>
        <w:t>בש</w:t>
      </w:r>
      <w:r w:rsidRPr="006138C2">
        <w:rPr>
          <w:rFonts w:cs="David" w:hint="cs"/>
          <w:rtl/>
          <w:lang w:eastAsia="he-IL"/>
        </w:rPr>
        <w:t>ם צוות המשיבים ובברכת התורה,</w:t>
      </w:r>
    </w:p>
    <w:p w14:paraId="100B4C60" w14:textId="77777777" w:rsidR="006138C2" w:rsidRPr="006138C2" w:rsidRDefault="006138C2" w:rsidP="006138C2">
      <w:pPr>
        <w:ind w:left="3825"/>
        <w:jc w:val="center"/>
        <w:rPr>
          <w:rFonts w:cs="David"/>
          <w:sz w:val="12"/>
          <w:szCs w:val="12"/>
          <w:rtl/>
          <w:lang w:eastAsia="he-IL"/>
        </w:rPr>
      </w:pPr>
    </w:p>
    <w:p w14:paraId="1C7DAA30" w14:textId="77777777" w:rsidR="006138C2" w:rsidRPr="006138C2" w:rsidRDefault="006138C2" w:rsidP="006138C2">
      <w:pPr>
        <w:keepNext/>
        <w:ind w:left="3825"/>
        <w:jc w:val="center"/>
        <w:outlineLvl w:val="1"/>
        <w:rPr>
          <w:rFonts w:cs="David"/>
          <w:noProof/>
          <w:rtl/>
          <w:lang w:eastAsia="he-IL"/>
        </w:rPr>
      </w:pPr>
      <w:r w:rsidRPr="006138C2">
        <w:rPr>
          <w:rFonts w:cs="David"/>
          <w:noProof/>
          <w:rtl/>
          <w:lang w:eastAsia="he-IL"/>
        </w:rPr>
        <w:t>הר</w:t>
      </w:r>
      <w:r w:rsidRPr="006138C2">
        <w:rPr>
          <w:rFonts w:cs="David" w:hint="cs"/>
          <w:noProof/>
          <w:rtl/>
          <w:lang w:eastAsia="he-IL"/>
        </w:rPr>
        <w:t xml:space="preserve">ב </w:t>
      </w:r>
      <w:r w:rsidRPr="006138C2">
        <w:rPr>
          <w:rFonts w:cs="David"/>
          <w:noProof/>
          <w:rtl/>
          <w:lang w:eastAsia="he-IL"/>
        </w:rPr>
        <w:t>מש</w:t>
      </w:r>
      <w:r w:rsidRPr="006138C2">
        <w:rPr>
          <w:rFonts w:cs="David" w:hint="cs"/>
          <w:noProof/>
          <w:rtl/>
          <w:lang w:eastAsia="he-IL"/>
        </w:rPr>
        <w:t>ה ארנרייך          הרב יוסף כרמל</w:t>
      </w:r>
    </w:p>
    <w:p w14:paraId="1BF6A677" w14:textId="77777777" w:rsidR="006138C2" w:rsidRPr="006138C2" w:rsidRDefault="006138C2" w:rsidP="006138C2">
      <w:pPr>
        <w:ind w:left="3825"/>
        <w:jc w:val="center"/>
        <w:rPr>
          <w:rFonts w:cs="David"/>
          <w:rtl/>
          <w:lang w:eastAsia="he-IL"/>
        </w:rPr>
      </w:pPr>
      <w:r w:rsidRPr="006138C2">
        <w:rPr>
          <w:rFonts w:cs="David"/>
          <w:rtl/>
          <w:lang w:eastAsia="he-IL"/>
        </w:rPr>
        <w:t>רא</w:t>
      </w:r>
      <w:r w:rsidRPr="006138C2">
        <w:rPr>
          <w:rFonts w:cs="David" w:hint="cs"/>
          <w:rtl/>
          <w:lang w:eastAsia="he-IL"/>
        </w:rPr>
        <w:t>שי הכולל</w:t>
      </w:r>
    </w:p>
    <w:p w14:paraId="605CF174" w14:textId="77777777" w:rsidR="006138C2" w:rsidRPr="006138C2" w:rsidRDefault="006138C2" w:rsidP="006138C2">
      <w:pPr>
        <w:ind w:left="3825"/>
        <w:jc w:val="center"/>
        <w:rPr>
          <w:rFonts w:cs="David"/>
          <w:rtl/>
          <w:lang w:eastAsia="he-IL"/>
        </w:rPr>
      </w:pPr>
    </w:p>
    <w:p w14:paraId="68A7E141" w14:textId="77777777" w:rsidR="006138C2" w:rsidRPr="006138C2" w:rsidRDefault="006138C2" w:rsidP="006138C2">
      <w:pPr>
        <w:ind w:left="3825"/>
        <w:jc w:val="center"/>
        <w:rPr>
          <w:rFonts w:cs="David"/>
          <w:rtl/>
          <w:lang w:eastAsia="he-IL"/>
        </w:rPr>
      </w:pPr>
    </w:p>
    <w:p w14:paraId="0B796CF5" w14:textId="77777777" w:rsidR="006138C2" w:rsidRPr="006138C2" w:rsidRDefault="006138C2" w:rsidP="006138C2">
      <w:pPr>
        <w:ind w:left="3825"/>
        <w:jc w:val="center"/>
        <w:rPr>
          <w:rFonts w:cs="David"/>
          <w:rtl/>
          <w:lang w:eastAsia="he-IL"/>
        </w:rPr>
      </w:pPr>
      <w:r w:rsidRPr="006138C2">
        <w:rPr>
          <w:rFonts w:cs="David" w:hint="cs"/>
          <w:rtl/>
          <w:lang w:eastAsia="he-IL"/>
        </w:rPr>
        <w:t>גם</w:t>
      </w:r>
      <w:r w:rsidRPr="006138C2">
        <w:rPr>
          <w:rFonts w:cs="David"/>
          <w:rtl/>
          <w:lang w:eastAsia="he-IL"/>
        </w:rPr>
        <w:t xml:space="preserve"> </w:t>
      </w:r>
      <w:r w:rsidRPr="006138C2">
        <w:rPr>
          <w:rFonts w:cs="David" w:hint="cs"/>
          <w:rtl/>
          <w:lang w:eastAsia="he-IL"/>
        </w:rPr>
        <w:t>אני מאשר:</w:t>
      </w:r>
    </w:p>
    <w:p w14:paraId="4C55AD86" w14:textId="77777777" w:rsidR="006138C2" w:rsidRPr="006138C2" w:rsidRDefault="006138C2" w:rsidP="006138C2">
      <w:pPr>
        <w:ind w:left="3825"/>
        <w:jc w:val="center"/>
        <w:rPr>
          <w:rFonts w:cs="David"/>
          <w:rtl/>
          <w:lang w:eastAsia="he-IL"/>
        </w:rPr>
      </w:pPr>
      <w:r w:rsidRPr="006138C2">
        <w:rPr>
          <w:rFonts w:cs="David"/>
          <w:rtl/>
          <w:lang w:eastAsia="he-IL"/>
        </w:rPr>
        <w:t>הרב</w:t>
      </w:r>
      <w:r w:rsidRPr="006138C2">
        <w:rPr>
          <w:rFonts w:cs="David" w:hint="cs"/>
          <w:rtl/>
          <w:lang w:eastAsia="he-IL"/>
        </w:rPr>
        <w:t xml:space="preserve"> שאול ישראלי</w:t>
      </w:r>
    </w:p>
    <w:p w14:paraId="5AADD667" w14:textId="54D1EC40" w:rsidR="00601083" w:rsidRPr="00E72230" w:rsidRDefault="00601083" w:rsidP="006138C2">
      <w:pPr>
        <w:ind w:left="3825"/>
        <w:jc w:val="center"/>
        <w:rPr>
          <w:rFonts w:cs="David"/>
          <w:rtl/>
          <w:lang w:eastAsia="he-IL"/>
        </w:rPr>
      </w:pPr>
    </w:p>
    <w:p w14:paraId="6E38DB40" w14:textId="77777777" w:rsidR="000457DC" w:rsidRDefault="000457DC" w:rsidP="002D608A">
      <w:pPr>
        <w:contextualSpacing/>
        <w:jc w:val="center"/>
        <w:rPr>
          <w:rFonts w:cs="David"/>
          <w:sz w:val="23"/>
          <w:szCs w:val="23"/>
          <w:rtl/>
          <w:lang w:eastAsia="he-IL"/>
        </w:rPr>
      </w:pPr>
    </w:p>
    <w:p w14:paraId="7D5DE113" w14:textId="52837A96" w:rsidR="00E620CB" w:rsidRPr="00C71B59" w:rsidRDefault="00252659" w:rsidP="00C71B59">
      <w:pPr>
        <w:contextualSpacing/>
        <w:jc w:val="center"/>
        <w:rPr>
          <w:rFonts w:cs="David"/>
          <w:b/>
          <w:bCs/>
          <w:color w:val="0070C0"/>
          <w:rtl/>
          <w:lang w:eastAsia="he-IL"/>
        </w:rPr>
      </w:pPr>
      <w:hyperlink r:id="rId19" w:history="1">
        <w:r w:rsidR="002E4F14" w:rsidRPr="00C71B59">
          <w:rPr>
            <w:rStyle w:val="Hyperlink"/>
            <w:rFonts w:cs="David" w:hint="cs"/>
            <w:b/>
            <w:bCs/>
            <w:color w:val="002060"/>
            <w:rtl/>
            <w:lang w:eastAsia="he-IL"/>
          </w:rPr>
          <w:t>ארץ חמדה – קישור לשו"ת במראה הבזק באתר</w:t>
        </w:r>
      </w:hyperlink>
    </w:p>
    <w:p w14:paraId="11751DAB" w14:textId="5757C236" w:rsidR="00E404F4" w:rsidRPr="00C71B59" w:rsidRDefault="00612652" w:rsidP="00C71B59">
      <w:pPr>
        <w:contextualSpacing/>
        <w:jc w:val="center"/>
        <w:rPr>
          <w:color w:val="0070C0"/>
          <w:rtl/>
        </w:rPr>
      </w:pPr>
      <w:r w:rsidRPr="00C71B59">
        <w:rPr>
          <w:rFonts w:cs="David" w:hint="cs"/>
          <w:b/>
          <w:bCs/>
          <w:color w:val="0070C0"/>
          <w:rtl/>
          <w:lang w:eastAsia="he-IL"/>
        </w:rPr>
        <w:t>ני</w:t>
      </w:r>
      <w:r w:rsidR="002E4F14" w:rsidRPr="00C71B59">
        <w:rPr>
          <w:rFonts w:cs="David"/>
          <w:b/>
          <w:bCs/>
          <w:color w:val="0070C0"/>
          <w:rtl/>
          <w:lang w:eastAsia="he-IL"/>
        </w:rPr>
        <w:t>תן ליצור קשר עם הכותבים דרך</w:t>
      </w:r>
      <w:r w:rsidR="002E4F14" w:rsidRPr="00C71B59">
        <w:rPr>
          <w:rFonts w:cs="David" w:hint="cs"/>
          <w:b/>
          <w:bCs/>
          <w:color w:val="0070C0"/>
          <w:rtl/>
          <w:lang w:eastAsia="he-IL"/>
        </w:rPr>
        <w:t xml:space="preserve">: </w:t>
      </w:r>
      <w:r w:rsidR="002E4F14" w:rsidRPr="00C71B59">
        <w:rPr>
          <w:rFonts w:cs="David"/>
          <w:b/>
          <w:bCs/>
          <w:color w:val="0070C0"/>
          <w:rtl/>
          <w:lang w:eastAsia="he-IL"/>
        </w:rPr>
        <w:t xml:space="preserve"> </w:t>
      </w:r>
      <w:hyperlink r:id="rId20" w:history="1">
        <w:r w:rsidR="002E4F14" w:rsidRPr="00C71B59">
          <w:rPr>
            <w:color w:val="0070C0"/>
          </w:rPr>
          <w:t>info@eretzhemdah.org</w:t>
        </w:r>
      </w:hyperlink>
    </w:p>
    <w:p w14:paraId="75181F8B" w14:textId="77777777" w:rsidR="00CF37F0" w:rsidRDefault="00CF37F0" w:rsidP="002D608A">
      <w:pPr>
        <w:contextualSpacing/>
        <w:jc w:val="center"/>
        <w:rPr>
          <w:color w:val="0070C0"/>
          <w:sz w:val="23"/>
          <w:szCs w:val="23"/>
          <w:rtl/>
        </w:rPr>
      </w:pPr>
    </w:p>
    <w:p w14:paraId="6F82C4F9" w14:textId="00FE85CB" w:rsidR="00601083" w:rsidRPr="00601083" w:rsidRDefault="00601083" w:rsidP="002D608A">
      <w:pPr>
        <w:contextualSpacing/>
        <w:jc w:val="center"/>
        <w:rPr>
          <w:color w:val="0070C0"/>
          <w:sz w:val="23"/>
          <w:szCs w:val="23"/>
          <w:rtl/>
        </w:rPr>
      </w:pPr>
      <w:r w:rsidRPr="00601083">
        <w:rPr>
          <w:rStyle w:val="1c"/>
          <w:b/>
          <w:bCs/>
          <w:noProof/>
          <w:color w:val="0070C0"/>
          <w:sz w:val="23"/>
          <w:szCs w:val="23"/>
        </w:rPr>
        <w:drawing>
          <wp:anchor distT="0" distB="0" distL="114300" distR="114300" simplePos="0" relativeHeight="252041216" behindDoc="1" locked="0" layoutInCell="1" allowOverlap="1" wp14:anchorId="2C940554" wp14:editId="494C6859">
            <wp:simplePos x="0" y="0"/>
            <wp:positionH relativeFrom="margin">
              <wp:posOffset>1153795</wp:posOffset>
            </wp:positionH>
            <wp:positionV relativeFrom="paragraph">
              <wp:posOffset>88265</wp:posOffset>
            </wp:positionV>
            <wp:extent cx="4761371" cy="845770"/>
            <wp:effectExtent l="0" t="0" r="127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761371" cy="845770"/>
                    </a:xfrm>
                    <a:prstGeom prst="rect">
                      <a:avLst/>
                    </a:prstGeom>
                  </pic:spPr>
                </pic:pic>
              </a:graphicData>
            </a:graphic>
            <wp14:sizeRelH relativeFrom="page">
              <wp14:pctWidth>0</wp14:pctWidth>
            </wp14:sizeRelH>
            <wp14:sizeRelV relativeFrom="page">
              <wp14:pctHeight>0</wp14:pctHeight>
            </wp14:sizeRelV>
          </wp:anchor>
        </w:drawing>
      </w:r>
    </w:p>
    <w:p w14:paraId="76C29EE5" w14:textId="02379548" w:rsidR="009D10EF" w:rsidRDefault="009D10EF" w:rsidP="002D608A">
      <w:pPr>
        <w:ind w:left="-2"/>
        <w:contextualSpacing/>
        <w:rPr>
          <w:rFonts w:cs="David"/>
        </w:rPr>
      </w:pPr>
    </w:p>
    <w:p w14:paraId="5064B3D6" w14:textId="4A0E1A81" w:rsidR="009D10EF" w:rsidRDefault="009D10EF" w:rsidP="002D608A">
      <w:pPr>
        <w:ind w:left="-2"/>
        <w:contextualSpacing/>
        <w:rPr>
          <w:rFonts w:cs="David"/>
        </w:rPr>
      </w:pPr>
    </w:p>
    <w:p w14:paraId="1ABF0738" w14:textId="6272436D" w:rsidR="00E620CB" w:rsidRDefault="00E620CB" w:rsidP="009D10EF">
      <w:pPr>
        <w:contextualSpacing/>
        <w:rPr>
          <w:color w:val="0070C0"/>
          <w:rtl/>
        </w:rPr>
      </w:pPr>
    </w:p>
    <w:p w14:paraId="54919CEA" w14:textId="713DA18F" w:rsidR="00E72230" w:rsidRDefault="00E72230" w:rsidP="009D10EF">
      <w:pPr>
        <w:contextualSpacing/>
        <w:rPr>
          <w:color w:val="0070C0"/>
          <w:rtl/>
        </w:rPr>
      </w:pPr>
    </w:p>
    <w:p w14:paraId="4882E8FF" w14:textId="2DDC827D" w:rsidR="000457DC" w:rsidRDefault="005E3AFB" w:rsidP="008B0064">
      <w:pPr>
        <w:contextualSpacing/>
        <w:rPr>
          <w:color w:val="0070C0"/>
          <w:rtl/>
        </w:rPr>
      </w:pPr>
      <w:r w:rsidRPr="00876564">
        <w:rPr>
          <w:noProof/>
          <w:sz w:val="20"/>
          <w:szCs w:val="20"/>
          <w:rtl/>
        </w:rPr>
        <w:drawing>
          <wp:anchor distT="0" distB="0" distL="114300" distR="114300" simplePos="0" relativeHeight="252046336" behindDoc="0" locked="0" layoutInCell="1" allowOverlap="1" wp14:anchorId="3AA96E30" wp14:editId="021CC015">
            <wp:simplePos x="0" y="0"/>
            <wp:positionH relativeFrom="margin">
              <wp:posOffset>1099820</wp:posOffset>
            </wp:positionH>
            <wp:positionV relativeFrom="paragraph">
              <wp:posOffset>135172</wp:posOffset>
            </wp:positionV>
            <wp:extent cx="4838065" cy="1097280"/>
            <wp:effectExtent l="0" t="0" r="635" b="7620"/>
            <wp:wrapNone/>
            <wp:docPr id="7" name="תמונה 7" descr="משטר ומדינה פרסום לחי">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38065" cy="1097280"/>
                    </a:xfrm>
                    <a:prstGeom prst="rect">
                      <a:avLst/>
                    </a:prstGeom>
                    <a:noFill/>
                  </pic:spPr>
                </pic:pic>
              </a:graphicData>
            </a:graphic>
            <wp14:sizeRelH relativeFrom="page">
              <wp14:pctWidth>0</wp14:pctWidth>
            </wp14:sizeRelH>
            <wp14:sizeRelV relativeFrom="page">
              <wp14:pctHeight>0</wp14:pctHeight>
            </wp14:sizeRelV>
          </wp:anchor>
        </w:drawing>
      </w:r>
    </w:p>
    <w:sectPr w:rsidR="000457DC" w:rsidSect="003D51B7">
      <w:headerReference w:type="default" r:id="rId24"/>
      <w:headerReference w:type="first" r:id="rId25"/>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6BA9" w14:textId="77777777" w:rsidR="006A0BC7" w:rsidRDefault="006A0BC7">
      <w:r>
        <w:separator/>
      </w:r>
    </w:p>
  </w:endnote>
  <w:endnote w:type="continuationSeparator" w:id="0">
    <w:p w14:paraId="364988CF" w14:textId="77777777" w:rsidR="006A0BC7" w:rsidRDefault="006A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22BA2" w14:textId="77777777" w:rsidR="006A0BC7" w:rsidRDefault="006A0BC7">
      <w:r>
        <w:separator/>
      </w:r>
    </w:p>
  </w:footnote>
  <w:footnote w:type="continuationSeparator" w:id="0">
    <w:p w14:paraId="39B8575F" w14:textId="77777777" w:rsidR="006A0BC7" w:rsidRDefault="006A0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5" name="תמונה 5"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6F27C"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7BE71263" w:rsidR="003056AF" w:rsidRPr="00FA505B" w:rsidRDefault="00CD2201"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כי תצא</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2B21777"/>
    <w:multiLevelType w:val="hybridMultilevel"/>
    <w:tmpl w:val="EF02E782"/>
    <w:lvl w:ilvl="0" w:tplc="906286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76122"/>
    <w:multiLevelType w:val="hybridMultilevel"/>
    <w:tmpl w:val="4C9A110C"/>
    <w:lvl w:ilvl="0" w:tplc="FC0051E4">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812D47"/>
    <w:multiLevelType w:val="hybridMultilevel"/>
    <w:tmpl w:val="9F3ADE6C"/>
    <w:lvl w:ilvl="0" w:tplc="345ABC9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C13A09"/>
    <w:multiLevelType w:val="hybridMultilevel"/>
    <w:tmpl w:val="7910D868"/>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D3679F"/>
    <w:multiLevelType w:val="hybridMultilevel"/>
    <w:tmpl w:val="3B7A343E"/>
    <w:lvl w:ilvl="0" w:tplc="C23864E2">
      <w:start w:val="1"/>
      <w:numFmt w:val="hebrew1"/>
      <w:lvlText w:val="%1."/>
      <w:lvlJc w:val="left"/>
      <w:pPr>
        <w:tabs>
          <w:tab w:val="num" w:pos="720"/>
        </w:tabs>
        <w:ind w:left="709" w:hanging="349"/>
      </w:pPr>
      <w:rPr>
        <w:rFonts w:ascii="Times New Roman" w:eastAsia="Times New Roman" w:hAnsi="Times New Roman" w:cs="David"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F0F5808"/>
    <w:multiLevelType w:val="hybridMultilevel"/>
    <w:tmpl w:val="10365BCA"/>
    <w:lvl w:ilvl="0" w:tplc="329E482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113AE8"/>
    <w:multiLevelType w:val="hybridMultilevel"/>
    <w:tmpl w:val="4DC63CD0"/>
    <w:lvl w:ilvl="0" w:tplc="5044B55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814633"/>
    <w:multiLevelType w:val="hybridMultilevel"/>
    <w:tmpl w:val="8C1CAB2C"/>
    <w:lvl w:ilvl="0" w:tplc="8E6AF9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104CDC"/>
    <w:multiLevelType w:val="hybridMultilevel"/>
    <w:tmpl w:val="9B42DBDA"/>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17D91D11"/>
    <w:multiLevelType w:val="hybridMultilevel"/>
    <w:tmpl w:val="95C2C71C"/>
    <w:lvl w:ilvl="0" w:tplc="7B3ADCA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C30C48"/>
    <w:multiLevelType w:val="hybridMultilevel"/>
    <w:tmpl w:val="658E57CE"/>
    <w:lvl w:ilvl="0" w:tplc="124C2F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9B2328"/>
    <w:multiLevelType w:val="hybridMultilevel"/>
    <w:tmpl w:val="D9D44658"/>
    <w:lvl w:ilvl="0" w:tplc="CA06BB3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372414"/>
    <w:multiLevelType w:val="hybridMultilevel"/>
    <w:tmpl w:val="9C52A280"/>
    <w:lvl w:ilvl="0" w:tplc="6980C0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143D70"/>
    <w:multiLevelType w:val="hybridMultilevel"/>
    <w:tmpl w:val="2BF858D0"/>
    <w:lvl w:ilvl="0" w:tplc="D67601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156F91"/>
    <w:multiLevelType w:val="hybridMultilevel"/>
    <w:tmpl w:val="AB1AAB9C"/>
    <w:lvl w:ilvl="0" w:tplc="BE2E91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E17B8B"/>
    <w:multiLevelType w:val="hybridMultilevel"/>
    <w:tmpl w:val="64FC8C90"/>
    <w:lvl w:ilvl="0" w:tplc="56EE42B4">
      <w:start w:val="1"/>
      <w:numFmt w:val="bullet"/>
      <w:lvlText w:val="-"/>
      <w:lvlJc w:val="left"/>
      <w:pPr>
        <w:ind w:left="420" w:hanging="360"/>
      </w:pPr>
      <w:rPr>
        <w:rFonts w:ascii="Arial" w:eastAsiaTheme="minorHAnsi" w:hAnsi="Arial" w:cs="Arial" w:hint="default"/>
        <w:sz w:val="2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15:restartNumberingAfterBreak="0">
    <w:nsid w:val="2D06734B"/>
    <w:multiLevelType w:val="hybridMultilevel"/>
    <w:tmpl w:val="E4226E20"/>
    <w:lvl w:ilvl="0" w:tplc="7E02858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CD5411"/>
    <w:multiLevelType w:val="hybridMultilevel"/>
    <w:tmpl w:val="F71A3030"/>
    <w:lvl w:ilvl="0" w:tplc="8DF215D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BD3719"/>
    <w:multiLevelType w:val="hybridMultilevel"/>
    <w:tmpl w:val="ED6865D6"/>
    <w:lvl w:ilvl="0" w:tplc="BB7E60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3C3DF6"/>
    <w:multiLevelType w:val="hybridMultilevel"/>
    <w:tmpl w:val="0462A632"/>
    <w:lvl w:ilvl="0" w:tplc="A5BC8C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35F083F"/>
    <w:multiLevelType w:val="hybridMultilevel"/>
    <w:tmpl w:val="697E92D0"/>
    <w:lvl w:ilvl="0" w:tplc="AEE061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A7462A"/>
    <w:multiLevelType w:val="hybridMultilevel"/>
    <w:tmpl w:val="68785C76"/>
    <w:lvl w:ilvl="0" w:tplc="F28C9FD0">
      <w:start w:val="3"/>
      <w:numFmt w:val="hebrew1"/>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CA25F2C"/>
    <w:multiLevelType w:val="singleLevel"/>
    <w:tmpl w:val="DB0E356E"/>
    <w:lvl w:ilvl="0">
      <w:start w:val="1"/>
      <w:numFmt w:val="hebrew1"/>
      <w:lvlText w:val="%1."/>
      <w:lvlJc w:val="left"/>
      <w:pPr>
        <w:tabs>
          <w:tab w:val="num" w:pos="737"/>
        </w:tabs>
        <w:ind w:left="737" w:hanging="360"/>
      </w:pPr>
      <w:rPr>
        <w:rFonts w:hint="default"/>
        <w:sz w:val="24"/>
      </w:rPr>
    </w:lvl>
  </w:abstractNum>
  <w:abstractNum w:abstractNumId="24" w15:restartNumberingAfterBreak="0">
    <w:nsid w:val="3CEA2F28"/>
    <w:multiLevelType w:val="hybridMultilevel"/>
    <w:tmpl w:val="6D50016C"/>
    <w:lvl w:ilvl="0" w:tplc="05D86866">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D790B22"/>
    <w:multiLevelType w:val="hybridMultilevel"/>
    <w:tmpl w:val="A42241D8"/>
    <w:lvl w:ilvl="0" w:tplc="4162B4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7D4C87"/>
    <w:multiLevelType w:val="hybridMultilevel"/>
    <w:tmpl w:val="AA7CD730"/>
    <w:lvl w:ilvl="0" w:tplc="083C58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C96B90"/>
    <w:multiLevelType w:val="hybridMultilevel"/>
    <w:tmpl w:val="2B3AC7F0"/>
    <w:lvl w:ilvl="0" w:tplc="529A781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4D60E5A"/>
    <w:multiLevelType w:val="hybridMultilevel"/>
    <w:tmpl w:val="73B8F924"/>
    <w:lvl w:ilvl="0" w:tplc="CA5CBBCE">
      <w:start w:val="1"/>
      <w:numFmt w:val="bullet"/>
      <w:lvlText w:val="-"/>
      <w:lvlJc w:val="left"/>
      <w:pPr>
        <w:ind w:left="420" w:hanging="360"/>
      </w:pPr>
      <w:rPr>
        <w:rFonts w:ascii="Times New Roman" w:eastAsiaTheme="maj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9" w15:restartNumberingAfterBreak="0">
    <w:nsid w:val="4F2624C0"/>
    <w:multiLevelType w:val="hybridMultilevel"/>
    <w:tmpl w:val="988EEE30"/>
    <w:lvl w:ilvl="0" w:tplc="17265A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FCC110A"/>
    <w:multiLevelType w:val="hybridMultilevel"/>
    <w:tmpl w:val="5FB2BED8"/>
    <w:lvl w:ilvl="0" w:tplc="96FCE3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532470"/>
    <w:multiLevelType w:val="hybridMultilevel"/>
    <w:tmpl w:val="5C9AD8AE"/>
    <w:lvl w:ilvl="0" w:tplc="5AF6035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2C2144A"/>
    <w:multiLevelType w:val="hybridMultilevel"/>
    <w:tmpl w:val="81A412FE"/>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2370BC"/>
    <w:multiLevelType w:val="singleLevel"/>
    <w:tmpl w:val="3C585BB2"/>
    <w:lvl w:ilvl="0">
      <w:start w:val="1"/>
      <w:numFmt w:val="hebrew1"/>
      <w:lvlText w:val="%1."/>
      <w:lvlJc w:val="left"/>
      <w:pPr>
        <w:tabs>
          <w:tab w:val="num" w:pos="360"/>
        </w:tabs>
        <w:ind w:left="360" w:hanging="360"/>
      </w:pPr>
      <w:rPr>
        <w:rFonts w:hint="default"/>
        <w:sz w:val="28"/>
      </w:rPr>
    </w:lvl>
  </w:abstractNum>
  <w:abstractNum w:abstractNumId="34" w15:restartNumberingAfterBreak="0">
    <w:nsid w:val="5CC42004"/>
    <w:multiLevelType w:val="hybridMultilevel"/>
    <w:tmpl w:val="490A5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D8430D"/>
    <w:multiLevelType w:val="hybridMultilevel"/>
    <w:tmpl w:val="6BA8ABF4"/>
    <w:lvl w:ilvl="0" w:tplc="DD780752">
      <w:start w:val="1"/>
      <w:numFmt w:val="hebrew1"/>
      <w:lvlText w:val="%1."/>
      <w:lvlJc w:val="left"/>
      <w:pPr>
        <w:tabs>
          <w:tab w:val="num" w:pos="644"/>
        </w:tabs>
        <w:ind w:left="644" w:hanging="360"/>
      </w:pPr>
      <w:rPr>
        <w:rFonts w:cs="Times New Roman" w:hint="default"/>
        <w:szCs w:val="28"/>
      </w:rPr>
    </w:lvl>
    <w:lvl w:ilvl="1" w:tplc="3F9CA88A">
      <w:start w:val="1"/>
      <w:numFmt w:val="decimal"/>
      <w:lvlText w:val="%2."/>
      <w:lvlJc w:val="left"/>
      <w:pPr>
        <w:tabs>
          <w:tab w:val="num" w:pos="360"/>
        </w:tabs>
        <w:ind w:left="360" w:hanging="360"/>
      </w:pPr>
      <w:rPr>
        <w:rFonts w:ascii="David" w:hAnsi="David" w:cs="David" w:hint="default"/>
      </w:rPr>
    </w:lvl>
    <w:lvl w:ilvl="2" w:tplc="040D001B">
      <w:start w:val="1"/>
      <w:numFmt w:val="lowerRoman"/>
      <w:lvlText w:val="%3."/>
      <w:lvlJc w:val="right"/>
      <w:pPr>
        <w:tabs>
          <w:tab w:val="num" w:pos="2084"/>
        </w:tabs>
        <w:ind w:left="2084" w:hanging="180"/>
      </w:pPr>
      <w:rPr>
        <w:rFonts w:cs="Times New Roman"/>
      </w:rPr>
    </w:lvl>
    <w:lvl w:ilvl="3" w:tplc="040D000F">
      <w:start w:val="1"/>
      <w:numFmt w:val="decimal"/>
      <w:lvlText w:val="%4."/>
      <w:lvlJc w:val="left"/>
      <w:pPr>
        <w:tabs>
          <w:tab w:val="num" w:pos="2804"/>
        </w:tabs>
        <w:ind w:left="2804" w:hanging="360"/>
      </w:pPr>
      <w:rPr>
        <w:rFonts w:cs="Times New Roman"/>
      </w:rPr>
    </w:lvl>
    <w:lvl w:ilvl="4" w:tplc="040D0019">
      <w:start w:val="1"/>
      <w:numFmt w:val="lowerLetter"/>
      <w:lvlText w:val="%5."/>
      <w:lvlJc w:val="left"/>
      <w:pPr>
        <w:tabs>
          <w:tab w:val="num" w:pos="3524"/>
        </w:tabs>
        <w:ind w:left="3524" w:hanging="360"/>
      </w:pPr>
      <w:rPr>
        <w:rFonts w:cs="Times New Roman"/>
      </w:rPr>
    </w:lvl>
    <w:lvl w:ilvl="5" w:tplc="040D001B">
      <w:start w:val="1"/>
      <w:numFmt w:val="lowerRoman"/>
      <w:lvlText w:val="%6."/>
      <w:lvlJc w:val="right"/>
      <w:pPr>
        <w:tabs>
          <w:tab w:val="num" w:pos="4244"/>
        </w:tabs>
        <w:ind w:left="4244" w:hanging="180"/>
      </w:pPr>
      <w:rPr>
        <w:rFonts w:cs="Times New Roman"/>
      </w:rPr>
    </w:lvl>
    <w:lvl w:ilvl="6" w:tplc="040D000F">
      <w:start w:val="1"/>
      <w:numFmt w:val="decimal"/>
      <w:lvlText w:val="%7."/>
      <w:lvlJc w:val="left"/>
      <w:pPr>
        <w:tabs>
          <w:tab w:val="num" w:pos="4964"/>
        </w:tabs>
        <w:ind w:left="4964" w:hanging="360"/>
      </w:pPr>
      <w:rPr>
        <w:rFonts w:cs="Times New Roman"/>
      </w:rPr>
    </w:lvl>
    <w:lvl w:ilvl="7" w:tplc="040D0019">
      <w:start w:val="1"/>
      <w:numFmt w:val="lowerLetter"/>
      <w:lvlText w:val="%8."/>
      <w:lvlJc w:val="left"/>
      <w:pPr>
        <w:tabs>
          <w:tab w:val="num" w:pos="5684"/>
        </w:tabs>
        <w:ind w:left="5684" w:hanging="360"/>
      </w:pPr>
      <w:rPr>
        <w:rFonts w:cs="Times New Roman"/>
      </w:rPr>
    </w:lvl>
    <w:lvl w:ilvl="8" w:tplc="040D001B">
      <w:start w:val="1"/>
      <w:numFmt w:val="lowerRoman"/>
      <w:lvlText w:val="%9."/>
      <w:lvlJc w:val="right"/>
      <w:pPr>
        <w:tabs>
          <w:tab w:val="num" w:pos="6404"/>
        </w:tabs>
        <w:ind w:left="6404" w:hanging="180"/>
      </w:pPr>
      <w:rPr>
        <w:rFonts w:cs="Times New Roman"/>
      </w:rPr>
    </w:lvl>
  </w:abstractNum>
  <w:abstractNum w:abstractNumId="36" w15:restartNumberingAfterBreak="0">
    <w:nsid w:val="6033455B"/>
    <w:multiLevelType w:val="hybridMultilevel"/>
    <w:tmpl w:val="4C04BB4E"/>
    <w:lvl w:ilvl="0" w:tplc="6FAEF7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1B24419"/>
    <w:multiLevelType w:val="hybridMultilevel"/>
    <w:tmpl w:val="DCC4E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23844CD"/>
    <w:multiLevelType w:val="hybridMultilevel"/>
    <w:tmpl w:val="5AAABD4E"/>
    <w:lvl w:ilvl="0" w:tplc="BB5648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34354AC"/>
    <w:multiLevelType w:val="singleLevel"/>
    <w:tmpl w:val="738E9B28"/>
    <w:lvl w:ilvl="0">
      <w:start w:val="1"/>
      <w:numFmt w:val="hebrew1"/>
      <w:lvlText w:val="%1."/>
      <w:legacy w:legacy="1" w:legacySpace="0" w:legacyIndent="283"/>
      <w:lvlJc w:val="center"/>
      <w:pPr>
        <w:ind w:left="283" w:hanging="283"/>
      </w:pPr>
      <w:rPr>
        <w:rFonts w:ascii="David" w:hAnsi="David" w:cs="David" w:hint="default"/>
      </w:rPr>
    </w:lvl>
  </w:abstractNum>
  <w:abstractNum w:abstractNumId="40" w15:restartNumberingAfterBreak="0">
    <w:nsid w:val="64671C8D"/>
    <w:multiLevelType w:val="hybridMultilevel"/>
    <w:tmpl w:val="DEA63EAC"/>
    <w:lvl w:ilvl="0" w:tplc="105E61F8">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1" w15:restartNumberingAfterBreak="0">
    <w:nsid w:val="684D247F"/>
    <w:multiLevelType w:val="hybridMultilevel"/>
    <w:tmpl w:val="25768F6C"/>
    <w:lvl w:ilvl="0" w:tplc="6A1C543C">
      <w:start w:val="1"/>
      <w:numFmt w:val="hebrew1"/>
      <w:lvlText w:val="%1."/>
      <w:lvlJc w:val="left"/>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17A266A"/>
    <w:multiLevelType w:val="hybridMultilevel"/>
    <w:tmpl w:val="8B18B2B8"/>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A40159"/>
    <w:multiLevelType w:val="hybridMultilevel"/>
    <w:tmpl w:val="3278935E"/>
    <w:lvl w:ilvl="0" w:tplc="080E71AE">
      <w:start w:val="1"/>
      <w:numFmt w:val="hebrew1"/>
      <w:lvlText w:val="%1."/>
      <w:lvlJc w:val="left"/>
      <w:pPr>
        <w:tabs>
          <w:tab w:val="num" w:pos="720"/>
        </w:tabs>
        <w:ind w:left="720" w:hanging="360"/>
      </w:pPr>
      <w:rPr>
        <w:rFonts w:ascii="David" w:hAnsi="David" w:cs="David" w:hint="default"/>
        <w:szCs w:val="28"/>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4" w15:restartNumberingAfterBreak="0">
    <w:nsid w:val="723826F0"/>
    <w:multiLevelType w:val="hybridMultilevel"/>
    <w:tmpl w:val="3CCCBF00"/>
    <w:lvl w:ilvl="0" w:tplc="6FAEF7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3E158DF"/>
    <w:multiLevelType w:val="hybridMultilevel"/>
    <w:tmpl w:val="FB522B7A"/>
    <w:lvl w:ilvl="0" w:tplc="769CAA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50348BC"/>
    <w:multiLevelType w:val="singleLevel"/>
    <w:tmpl w:val="392003BE"/>
    <w:lvl w:ilvl="0">
      <w:start w:val="2"/>
      <w:numFmt w:val="hebrew1"/>
      <w:lvlText w:val="%1."/>
      <w:lvlJc w:val="left"/>
      <w:pPr>
        <w:tabs>
          <w:tab w:val="num" w:pos="720"/>
        </w:tabs>
        <w:ind w:left="720" w:hanging="720"/>
      </w:pPr>
      <w:rPr>
        <w:rFonts w:hint="default"/>
      </w:rPr>
    </w:lvl>
  </w:abstractNum>
  <w:abstractNum w:abstractNumId="47" w15:restartNumberingAfterBreak="0">
    <w:nsid w:val="750F1B5D"/>
    <w:multiLevelType w:val="hybridMultilevel"/>
    <w:tmpl w:val="66DA2616"/>
    <w:lvl w:ilvl="0" w:tplc="5CCEC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5"/>
  </w:num>
  <w:num w:numId="3">
    <w:abstractNumId w:val="41"/>
  </w:num>
  <w:num w:numId="4">
    <w:abstractNumId w:val="1"/>
  </w:num>
  <w:num w:numId="5">
    <w:abstractNumId w:val="19"/>
  </w:num>
  <w:num w:numId="6">
    <w:abstractNumId w:val="28"/>
  </w:num>
  <w:num w:numId="7">
    <w:abstractNumId w:val="25"/>
  </w:num>
  <w:num w:numId="8">
    <w:abstractNumId w:val="5"/>
  </w:num>
  <w:num w:numId="9">
    <w:abstractNumId w:val="30"/>
  </w:num>
  <w:num w:numId="10">
    <w:abstractNumId w:val="32"/>
  </w:num>
  <w:num w:numId="11">
    <w:abstractNumId w:val="4"/>
  </w:num>
  <w:num w:numId="12">
    <w:abstractNumId w:val="34"/>
  </w:num>
  <w:num w:numId="13">
    <w:abstractNumId w:val="16"/>
  </w:num>
  <w:num w:numId="14">
    <w:abstractNumId w:val="40"/>
  </w:num>
  <w:num w:numId="15">
    <w:abstractNumId w:val="22"/>
  </w:num>
  <w:num w:numId="16">
    <w:abstractNumId w:val="3"/>
  </w:num>
  <w:num w:numId="17">
    <w:abstractNumId w:val="42"/>
  </w:num>
  <w:num w:numId="18">
    <w:abstractNumId w:val="14"/>
  </w:num>
  <w:num w:numId="19">
    <w:abstractNumId w:val="21"/>
  </w:num>
  <w:num w:numId="20">
    <w:abstractNumId w:val="29"/>
  </w:num>
  <w:num w:numId="21">
    <w:abstractNumId w:val="26"/>
  </w:num>
  <w:num w:numId="22">
    <w:abstractNumId w:val="47"/>
  </w:num>
  <w:num w:numId="23">
    <w:abstractNumId w:val="31"/>
  </w:num>
  <w:num w:numId="24">
    <w:abstractNumId w:val="17"/>
  </w:num>
  <w:num w:numId="25">
    <w:abstractNumId w:val="45"/>
  </w:num>
  <w:num w:numId="26">
    <w:abstractNumId w:val="2"/>
  </w:num>
  <w:num w:numId="27">
    <w:abstractNumId w:val="6"/>
  </w:num>
  <w:num w:numId="28">
    <w:abstractNumId w:val="12"/>
  </w:num>
  <w:num w:numId="29">
    <w:abstractNumId w:val="39"/>
  </w:num>
  <w:num w:numId="30">
    <w:abstractNumId w:val="7"/>
  </w:num>
  <w:num w:numId="31">
    <w:abstractNumId w:val="37"/>
  </w:num>
  <w:num w:numId="32">
    <w:abstractNumId w:val="35"/>
  </w:num>
  <w:num w:numId="33">
    <w:abstractNumId w:val="43"/>
  </w:num>
  <w:num w:numId="34">
    <w:abstractNumId w:val="8"/>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num>
  <w:num w:numId="37">
    <w:abstractNumId w:val="46"/>
  </w:num>
  <w:num w:numId="38">
    <w:abstractNumId w:val="23"/>
  </w:num>
  <w:num w:numId="39">
    <w:abstractNumId w:val="44"/>
  </w:num>
  <w:num w:numId="40">
    <w:abstractNumId w:val="36"/>
  </w:num>
  <w:num w:numId="41">
    <w:abstractNumId w:val="13"/>
  </w:num>
  <w:num w:numId="42">
    <w:abstractNumId w:val="38"/>
  </w:num>
  <w:num w:numId="43">
    <w:abstractNumId w:val="20"/>
  </w:num>
  <w:num w:numId="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num>
  <w:num w:numId="46">
    <w:abstractNumId w:val="27"/>
  </w:num>
  <w:num w:numId="47">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7203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3C0"/>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84E"/>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99"/>
    <w:rsid w:val="001E6DB0"/>
    <w:rsid w:val="001E6DB5"/>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659"/>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BC5"/>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72B"/>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3F2"/>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AFB"/>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634"/>
    <w:rsid w:val="00613843"/>
    <w:rsid w:val="006138C2"/>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F1"/>
    <w:rsid w:val="0062462E"/>
    <w:rsid w:val="00624A6A"/>
    <w:rsid w:val="00624BD9"/>
    <w:rsid w:val="00624E2A"/>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70AB"/>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104"/>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1F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0A1"/>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3C9A"/>
    <w:rsid w:val="00C5467B"/>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5AD2"/>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201"/>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4F9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F"/>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B14"/>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4E2"/>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80B"/>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2E3"/>
    <w:rsid w:val="00F20461"/>
    <w:rsid w:val="00F204A8"/>
    <w:rsid w:val="00F2068A"/>
    <w:rsid w:val="00F2092A"/>
    <w:rsid w:val="00F20ACF"/>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680"/>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2033"/>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401E"/>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3992950">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52076740">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info@eretzhemdah.org"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hyperlink" Target="mailto:info@eretzhemdah.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hyperlink" Target="https://www.eretzhemdah.org/ebooks.asp?lang=he&amp;top=1&amp;pageid=2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yperlink" Target="http://eretzhemdah.org/publications.asp?lang=he&amp;pag"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2777</Words>
  <Characters>13293</Characters>
  <Application>Microsoft Office Word</Application>
  <DocSecurity>0</DocSecurity>
  <Lines>110</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8</cp:revision>
  <cp:lastPrinted>2025-01-30T11:17:00Z</cp:lastPrinted>
  <dcterms:created xsi:type="dcterms:W3CDTF">2025-09-02T13:05:00Z</dcterms:created>
  <dcterms:modified xsi:type="dcterms:W3CDTF">2025-09-03T11:32:00Z</dcterms:modified>
</cp:coreProperties>
</file>