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9FE8473" w:rsidR="00820DBE" w:rsidRPr="00820DBE" w:rsidRDefault="00820DBE" w:rsidP="002D608A">
            <w:pPr>
              <w:contextualSpacing/>
              <w:rPr>
                <w:rFonts w:ascii="Arial Black" w:hAnsi="Arial Black" w:cs="David"/>
                <w:b/>
                <w:bCs/>
                <w:iCs/>
                <w:color w:val="993300"/>
                <w:sz w:val="8"/>
                <w:szCs w:val="8"/>
                <w:rtl/>
              </w:rPr>
            </w:pPr>
          </w:p>
          <w:p w14:paraId="4B6E0FD0" w14:textId="0248B509"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C47F8C">
              <w:rPr>
                <w:rFonts w:ascii="Arial Black" w:hAnsi="Arial Black" w:cs="David" w:hint="cs"/>
                <w:b/>
                <w:bCs/>
                <w:iCs/>
                <w:color w:val="960000"/>
                <w:sz w:val="56"/>
                <w:szCs w:val="56"/>
                <w:rtl/>
              </w:rPr>
              <w:t>נח</w:t>
            </w:r>
            <w:r w:rsidR="00C17DA7">
              <w:rPr>
                <w:rFonts w:ascii="Arial Black" w:hAnsi="Arial Black" w:cs="David" w:hint="cs"/>
                <w:b/>
                <w:bCs/>
                <w:iCs/>
                <w:color w:val="960000"/>
                <w:sz w:val="50"/>
                <w:szCs w:val="50"/>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571E31C3" w14:textId="028A5B6E" w:rsidR="00FE3E91" w:rsidRDefault="00FE3E91" w:rsidP="00FE3E91">
            <w:pPr>
              <w:ind w:left="312" w:right="454"/>
              <w:contextualSpacing/>
              <w:jc w:val="center"/>
              <w:rPr>
                <w:rFonts w:ascii="FrankRuehl" w:hAnsi="FrankRuehl" w:cs="FrankRuehl"/>
                <w:b/>
                <w:bCs/>
                <w:color w:val="0070C0"/>
                <w:sz w:val="32"/>
                <w:szCs w:val="32"/>
                <w:rtl/>
              </w:rPr>
            </w:pPr>
            <w:bookmarkStart w:id="1" w:name="_Hlk184807529"/>
            <w:r w:rsidRPr="00FE3E91">
              <w:rPr>
                <w:rFonts w:ascii="FrankRuehl" w:hAnsi="FrankRuehl" w:cs="FrankRuehl" w:hint="cs"/>
                <w:b/>
                <w:bCs/>
                <w:color w:val="0070C0"/>
                <w:sz w:val="30"/>
                <w:szCs w:val="30"/>
                <w:rtl/>
              </w:rPr>
              <w:t xml:space="preserve">מהי </w:t>
            </w:r>
            <w:r w:rsidRPr="00FE3E91">
              <w:rPr>
                <w:rFonts w:ascii="FrankRuehl" w:hAnsi="FrankRuehl" w:cs="FrankRuehl"/>
                <w:b/>
                <w:bCs/>
                <w:color w:val="0070C0"/>
                <w:sz w:val="30"/>
                <w:szCs w:val="30"/>
                <w:rtl/>
              </w:rPr>
              <w:t>סֻכַּת דָּוִיד הַנֹּפֶלֶת</w:t>
            </w:r>
            <w:r w:rsidRPr="00FE3E91">
              <w:rPr>
                <w:rFonts w:ascii="FrankRuehl" w:hAnsi="FrankRuehl" w:cs="FrankRuehl" w:hint="cs"/>
                <w:b/>
                <w:bCs/>
                <w:color w:val="0070C0"/>
                <w:sz w:val="30"/>
                <w:szCs w:val="30"/>
                <w:rtl/>
              </w:rPr>
              <w:t>? על סוכה, תיבה וענני כבוד</w:t>
            </w:r>
            <w:r w:rsidRPr="00FE3E91">
              <w:rPr>
                <w:rFonts w:ascii="FrankRuehl" w:hAnsi="FrankRuehl" w:cs="FrankRuehl" w:hint="cs"/>
                <w:b/>
                <w:bCs/>
                <w:color w:val="0070C0"/>
                <w:sz w:val="32"/>
                <w:szCs w:val="32"/>
                <w:rtl/>
              </w:rPr>
              <w:t xml:space="preserve"> </w:t>
            </w:r>
            <w:r w:rsidRPr="00FE3E91">
              <w:rPr>
                <w:rFonts w:ascii="FrankRuehl" w:hAnsi="FrankRuehl" w:cs="FrankRuehl" w:hint="cs"/>
                <w:b/>
                <w:bCs/>
                <w:color w:val="0070C0"/>
                <w:rtl/>
              </w:rPr>
              <w:t>(ח"א)</w:t>
            </w:r>
          </w:p>
          <w:p w14:paraId="10E23E11" w14:textId="3CAFFEC8" w:rsidR="00FE3E91" w:rsidRPr="00FE3E91" w:rsidRDefault="00FE3E91" w:rsidP="00FE3E91">
            <w:pPr>
              <w:ind w:left="312" w:right="454"/>
              <w:contextualSpacing/>
              <w:jc w:val="center"/>
              <w:rPr>
                <w:rFonts w:ascii="FrankRuehl" w:hAnsi="FrankRuehl" w:cs="FrankRuehl"/>
                <w:b/>
                <w:bCs/>
                <w:color w:val="0070C0"/>
                <w:sz w:val="10"/>
                <w:szCs w:val="10"/>
                <w:rtl/>
              </w:rPr>
            </w:pPr>
            <w:r w:rsidRPr="00FE3E91">
              <w:rPr>
                <w:rFonts w:ascii="FrankRuehl" w:hAnsi="FrankRuehl" w:cs="FrankRuehl" w:hint="cs"/>
                <w:b/>
                <w:bCs/>
                <w:color w:val="0070C0"/>
                <w:sz w:val="10"/>
                <w:szCs w:val="10"/>
                <w:rtl/>
              </w:rPr>
              <w:t>------------</w:t>
            </w:r>
            <w:r>
              <w:rPr>
                <w:rFonts w:ascii="FrankRuehl" w:hAnsi="FrankRuehl" w:cs="FrankRuehl" w:hint="cs"/>
                <w:b/>
                <w:bCs/>
                <w:color w:val="0070C0"/>
                <w:sz w:val="10"/>
                <w:szCs w:val="10"/>
                <w:rtl/>
              </w:rPr>
              <w:t>-----------------------------------------------------------------------------------------------------------------</w:t>
            </w:r>
            <w:r w:rsidRPr="00FE3E91">
              <w:rPr>
                <w:rFonts w:ascii="FrankRuehl" w:hAnsi="FrankRuehl" w:cs="FrankRuehl" w:hint="cs"/>
                <w:b/>
                <w:bCs/>
                <w:color w:val="0070C0"/>
                <w:sz w:val="10"/>
                <w:szCs w:val="10"/>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FE3E91">
        <w:trPr>
          <w:trHeight w:val="60"/>
        </w:trPr>
        <w:tc>
          <w:tcPr>
            <w:tcW w:w="11198" w:type="dxa"/>
            <w:gridSpan w:val="2"/>
          </w:tcPr>
          <w:p w14:paraId="7DFA4927" w14:textId="77777777" w:rsidR="00FE3E91" w:rsidRPr="00FE3E91" w:rsidRDefault="00FE3E91" w:rsidP="00FE3E91">
            <w:pPr>
              <w:spacing w:line="276" w:lineRule="auto"/>
              <w:rPr>
                <w:rFonts w:ascii="Calibri" w:eastAsia="Calibri" w:hAnsi="Calibri" w:cs="David"/>
                <w:sz w:val="10"/>
                <w:szCs w:val="10"/>
                <w:rtl/>
              </w:rPr>
            </w:pPr>
          </w:p>
          <w:p w14:paraId="05D55B6D" w14:textId="77777777" w:rsidR="00FE3E91" w:rsidRPr="00FE3E91" w:rsidRDefault="00FE3E91" w:rsidP="00FE3E91">
            <w:pPr>
              <w:rPr>
                <w:rFonts w:ascii="Calibri" w:eastAsia="Calibri" w:hAnsi="Calibri" w:cs="David"/>
                <w:sz w:val="22"/>
                <w:szCs w:val="22"/>
                <w:rtl/>
              </w:rPr>
            </w:pPr>
            <w:r w:rsidRPr="00FE3E91">
              <w:rPr>
                <w:rFonts w:ascii="Calibri" w:eastAsia="Calibri" w:hAnsi="Calibri" w:cs="David" w:hint="cs"/>
                <w:sz w:val="22"/>
                <w:szCs w:val="22"/>
                <w:rtl/>
              </w:rPr>
              <w:t>המעבר בין אלפיים שנות תוהו לאלפיים שנות תורה (ע"פ ע"ז דף ט ע"א, עיינו גם ב"</w:t>
            </w:r>
            <w:r w:rsidRPr="00FE3E91">
              <w:rPr>
                <w:rFonts w:ascii="Calibri" w:eastAsia="Calibri" w:hAnsi="Calibri" w:cs="David" w:hint="eastAsia"/>
                <w:sz w:val="22"/>
                <w:szCs w:val="22"/>
                <w:rtl/>
              </w:rPr>
              <w:t>דף</w:t>
            </w:r>
            <w:r w:rsidRPr="00FE3E91">
              <w:rPr>
                <w:rFonts w:ascii="Calibri" w:eastAsia="Calibri" w:hAnsi="Calibri" w:cs="David"/>
                <w:sz w:val="22"/>
                <w:szCs w:val="22"/>
                <w:rtl/>
              </w:rPr>
              <w:t xml:space="preserve"> על </w:t>
            </w:r>
            <w:r w:rsidRPr="00FE3E91">
              <w:rPr>
                <w:rFonts w:ascii="Calibri" w:eastAsia="Calibri" w:hAnsi="Calibri" w:cs="David" w:hint="eastAsia"/>
                <w:sz w:val="22"/>
                <w:szCs w:val="22"/>
                <w:rtl/>
              </w:rPr>
              <w:t>הדף</w:t>
            </w:r>
            <w:r w:rsidRPr="00FE3E91">
              <w:rPr>
                <w:rFonts w:ascii="Calibri" w:eastAsia="Calibri" w:hAnsi="Calibri" w:cs="David"/>
                <w:sz w:val="22"/>
                <w:szCs w:val="22"/>
                <w:rtl/>
              </w:rPr>
              <w:t>" שם,</w:t>
            </w:r>
            <w:r w:rsidRPr="00FE3E91">
              <w:rPr>
                <w:rFonts w:ascii="Calibri" w:eastAsia="Calibri" w:hAnsi="Calibri" w:cs="David" w:hint="cs"/>
                <w:sz w:val="22"/>
                <w:szCs w:val="22"/>
                <w:rtl/>
              </w:rPr>
              <w:t xml:space="preserve"> </w:t>
            </w:r>
            <w:proofErr w:type="spellStart"/>
            <w:r w:rsidRPr="00FE3E91">
              <w:rPr>
                <w:rFonts w:ascii="Calibri" w:eastAsia="Calibri" w:hAnsi="Calibri" w:cs="David" w:hint="cs"/>
                <w:sz w:val="22"/>
                <w:szCs w:val="22"/>
                <w:rtl/>
              </w:rPr>
              <w:t>גימטריה</w:t>
            </w:r>
            <w:proofErr w:type="spellEnd"/>
            <w:r w:rsidRPr="00FE3E91">
              <w:rPr>
                <w:rFonts w:ascii="Calibri" w:eastAsia="Calibri" w:hAnsi="Calibri" w:cs="David" w:hint="cs"/>
                <w:sz w:val="22"/>
                <w:szCs w:val="22"/>
                <w:rtl/>
              </w:rPr>
              <w:t xml:space="preserve"> נפלאה בנושא) מצוי בפרשתנו, פרשת נח.  </w:t>
            </w:r>
          </w:p>
          <w:p w14:paraId="65211A9E" w14:textId="77777777" w:rsidR="00FE3E91" w:rsidRPr="00FE3E91" w:rsidRDefault="00FE3E91" w:rsidP="00FE3E91">
            <w:pPr>
              <w:rPr>
                <w:rFonts w:ascii="Calibri" w:eastAsia="Calibri" w:hAnsi="Calibri" w:cs="David"/>
                <w:sz w:val="22"/>
                <w:szCs w:val="22"/>
                <w:rtl/>
              </w:rPr>
            </w:pPr>
            <w:r w:rsidRPr="00FE3E91">
              <w:rPr>
                <w:rFonts w:ascii="Calibri" w:eastAsia="Calibri" w:hAnsi="Calibri" w:cs="David" w:hint="cs"/>
                <w:sz w:val="22"/>
                <w:szCs w:val="22"/>
                <w:rtl/>
              </w:rPr>
              <w:t>אלפיים שנות תורה כעם, מתחילות בפעלו של אברהם, שלימד תורה ואמונה לרבבות וקירבם תחת כנפי השכינה. התורה מזוהה במיוחד עם משה רבנו. בדברינו נשתדל לחבר את דוד המלך אל אברהם ומשה ונשווה את שלשתם לנח.</w:t>
            </w:r>
          </w:p>
          <w:p w14:paraId="42071E2D" w14:textId="77777777" w:rsidR="00FE3E91" w:rsidRPr="00FE3E91" w:rsidRDefault="00FE3E91" w:rsidP="00FE3E91">
            <w:pPr>
              <w:rPr>
                <w:rFonts w:ascii="Calibri" w:eastAsia="Calibri" w:hAnsi="Calibri" w:cs="David"/>
                <w:sz w:val="22"/>
                <w:szCs w:val="22"/>
                <w:rtl/>
              </w:rPr>
            </w:pPr>
            <w:r w:rsidRPr="00FE3E91">
              <w:rPr>
                <w:rFonts w:ascii="Calibri" w:eastAsia="Calibri" w:hAnsi="Calibri" w:cs="David" w:hint="cs"/>
                <w:sz w:val="22"/>
                <w:szCs w:val="22"/>
                <w:rtl/>
              </w:rPr>
              <w:t xml:space="preserve">בברכת המזון בימי חג הסוכות, הוספנו את "הרחמן הוא יקים לנו את סוכת דוד הנפלת". קולמוסים רבים נשתברו בהסבר ביטוי זה. מקורו בנבואת הנחמה החותמת את ספר עמוס, המבטיחה את נצחיותו של עם ישראל כעם </w:t>
            </w:r>
            <w:r w:rsidRPr="00FE3E91">
              <w:rPr>
                <w:rFonts w:ascii="FrankRuehl" w:eastAsia="Calibri" w:hAnsi="FrankRuehl" w:cs="FrankRuehl"/>
                <w:sz w:val="23"/>
                <w:szCs w:val="23"/>
                <w:rtl/>
              </w:rPr>
              <w:t>"בַּיּוֹם הַהוּא אָקִים אֶת סֻכַּת דָּוִיד הַנֹּפֶלֶת וְגָדַרְתִּי אֶת פִּרְצֵיהֶן וַהֲרִסֹתָיו אָקִים וּבְנִיתִיהָ כִּימֵי עוֹלָם"</w:t>
            </w:r>
            <w:r w:rsidRPr="00FE3E91">
              <w:rPr>
                <w:rFonts w:ascii="Calibri" w:eastAsia="Calibri" w:hAnsi="Calibri" w:cs="David" w:hint="cs"/>
                <w:sz w:val="22"/>
                <w:szCs w:val="22"/>
                <w:rtl/>
              </w:rPr>
              <w:t xml:space="preserve"> </w:t>
            </w:r>
            <w:r w:rsidRPr="00FE3E91">
              <w:rPr>
                <w:rFonts w:ascii="Calibri" w:eastAsia="Calibri" w:hAnsi="Calibri" w:cs="David" w:hint="cs"/>
                <w:sz w:val="20"/>
                <w:szCs w:val="20"/>
                <w:rtl/>
              </w:rPr>
              <w:t>(</w:t>
            </w:r>
            <w:r w:rsidRPr="00FE3E91">
              <w:rPr>
                <w:rFonts w:ascii="Calibri" w:eastAsia="Calibri" w:hAnsi="Calibri" w:cs="David"/>
                <w:sz w:val="20"/>
                <w:szCs w:val="20"/>
                <w:rtl/>
              </w:rPr>
              <w:t>ט</w:t>
            </w:r>
            <w:r w:rsidRPr="00FE3E91">
              <w:rPr>
                <w:rFonts w:ascii="Calibri" w:eastAsia="Calibri" w:hAnsi="Calibri" w:cs="David" w:hint="cs"/>
                <w:sz w:val="20"/>
                <w:szCs w:val="20"/>
                <w:rtl/>
              </w:rPr>
              <w:t xml:space="preserve">, </w:t>
            </w:r>
            <w:r w:rsidRPr="00FE3E91">
              <w:rPr>
                <w:rFonts w:ascii="Calibri" w:eastAsia="Calibri" w:hAnsi="Calibri" w:cs="David"/>
                <w:sz w:val="20"/>
                <w:szCs w:val="20"/>
                <w:rtl/>
              </w:rPr>
              <w:t>יא</w:t>
            </w:r>
            <w:r w:rsidRPr="00FE3E91">
              <w:rPr>
                <w:rFonts w:ascii="Calibri" w:eastAsia="Calibri" w:hAnsi="Calibri" w:cs="David" w:hint="cs"/>
                <w:sz w:val="20"/>
                <w:szCs w:val="20"/>
                <w:rtl/>
              </w:rPr>
              <w:t>).</w:t>
            </w:r>
            <w:r w:rsidRPr="00FE3E91">
              <w:rPr>
                <w:rFonts w:ascii="Calibri" w:eastAsia="Calibri" w:hAnsi="Calibri" w:cs="David" w:hint="cs"/>
                <w:sz w:val="22"/>
                <w:szCs w:val="22"/>
                <w:rtl/>
              </w:rPr>
              <w:t xml:space="preserve"> לכאורה, לא ברור ההקשר של הסוכה לדוד המלך </w:t>
            </w:r>
            <w:proofErr w:type="spellStart"/>
            <w:r w:rsidRPr="00FE3E91">
              <w:rPr>
                <w:rFonts w:ascii="Calibri" w:eastAsia="Calibri" w:hAnsi="Calibri" w:cs="David" w:hint="cs"/>
                <w:sz w:val="22"/>
                <w:szCs w:val="22"/>
                <w:rtl/>
              </w:rPr>
              <w:t>בדווקא</w:t>
            </w:r>
            <w:proofErr w:type="spellEnd"/>
            <w:r w:rsidRPr="00FE3E91">
              <w:rPr>
                <w:rFonts w:ascii="Calibri" w:eastAsia="Calibri" w:hAnsi="Calibri" w:cs="David" w:hint="cs"/>
                <w:sz w:val="22"/>
                <w:szCs w:val="22"/>
                <w:rtl/>
              </w:rPr>
              <w:t xml:space="preserve">, ולא ברור מדוע סוכתו מוגדרת כנופלת. </w:t>
            </w:r>
          </w:p>
          <w:p w14:paraId="261D8B14" w14:textId="77777777" w:rsidR="00FE3E91" w:rsidRPr="00FE3E91" w:rsidRDefault="00FE3E91" w:rsidP="00FE3E91">
            <w:pPr>
              <w:rPr>
                <w:rFonts w:ascii="Calibri" w:eastAsia="Calibri" w:hAnsi="Calibri" w:cs="David"/>
                <w:sz w:val="22"/>
                <w:szCs w:val="22"/>
                <w:rtl/>
              </w:rPr>
            </w:pPr>
            <w:r w:rsidRPr="00FE3E91">
              <w:rPr>
                <w:rFonts w:ascii="Calibri" w:eastAsia="Calibri" w:hAnsi="Calibri" w:cs="David" w:hint="cs"/>
                <w:sz w:val="22"/>
                <w:szCs w:val="22"/>
                <w:rtl/>
              </w:rPr>
              <w:t xml:space="preserve">נסכם בקצרה כמה כיוונים מדברי גדולי ישראל ואז ננסה, בשיפולי גלימותיהם, להציע כיוון חדש. </w:t>
            </w:r>
          </w:p>
          <w:p w14:paraId="566D32DD" w14:textId="77777777" w:rsidR="00FE3E91" w:rsidRPr="00FE3E91" w:rsidRDefault="00FE3E91" w:rsidP="00FE3E91">
            <w:pPr>
              <w:rPr>
                <w:rFonts w:ascii="Calibri" w:eastAsia="Calibri" w:hAnsi="Calibri" w:cs="David"/>
                <w:sz w:val="22"/>
                <w:szCs w:val="22"/>
                <w:rtl/>
              </w:rPr>
            </w:pPr>
            <w:r w:rsidRPr="00FE3E91">
              <w:rPr>
                <w:rFonts w:ascii="Calibri" w:eastAsia="Calibri" w:hAnsi="Calibri" w:cs="David" w:hint="cs"/>
                <w:sz w:val="22"/>
                <w:szCs w:val="22"/>
                <w:rtl/>
              </w:rPr>
              <w:t>במסכת סנהדרין מצינו "</w:t>
            </w:r>
            <w:r w:rsidRPr="00FE3E91">
              <w:rPr>
                <w:rFonts w:ascii="Calibri" w:eastAsia="Calibri" w:hAnsi="Calibri" w:cs="David"/>
                <w:sz w:val="22"/>
                <w:szCs w:val="22"/>
                <w:rtl/>
              </w:rPr>
              <w:t xml:space="preserve">אמר ליה רב נחמן לרבי יצחק: מי </w:t>
            </w:r>
            <w:proofErr w:type="spellStart"/>
            <w:r w:rsidRPr="00FE3E91">
              <w:rPr>
                <w:rFonts w:ascii="Calibri" w:eastAsia="Calibri" w:hAnsi="Calibri" w:cs="David"/>
                <w:sz w:val="22"/>
                <w:szCs w:val="22"/>
                <w:rtl/>
              </w:rPr>
              <w:t>שמיע</w:t>
            </w:r>
            <w:proofErr w:type="spellEnd"/>
            <w:r w:rsidRPr="00FE3E91">
              <w:rPr>
                <w:rFonts w:ascii="Calibri" w:eastAsia="Calibri" w:hAnsi="Calibri" w:cs="David"/>
                <w:sz w:val="22"/>
                <w:szCs w:val="22"/>
                <w:rtl/>
              </w:rPr>
              <w:t xml:space="preserve"> לך אימת אתי בר נפלי? - אמר ליה: מאן בר נפלי? </w:t>
            </w:r>
            <w:r w:rsidRPr="00FE3E91">
              <w:rPr>
                <w:rFonts w:ascii="Calibri" w:eastAsia="Calibri" w:hAnsi="Calibri" w:cs="David" w:hint="cs"/>
                <w:sz w:val="22"/>
                <w:szCs w:val="22"/>
                <w:rtl/>
              </w:rPr>
              <w:t>(למי אתה מתכוון בביטוי "בר נפלי"?)</w:t>
            </w:r>
            <w:r w:rsidRPr="00FE3E91">
              <w:rPr>
                <w:rFonts w:ascii="Calibri" w:eastAsia="Calibri" w:hAnsi="Calibri" w:cs="David"/>
                <w:sz w:val="22"/>
                <w:szCs w:val="22"/>
                <w:rtl/>
              </w:rPr>
              <w:t xml:space="preserve">- אמר ליה: משיח. - משיח בר נפלי קרית ליה? </w:t>
            </w:r>
            <w:r w:rsidRPr="00FE3E91">
              <w:rPr>
                <w:rFonts w:ascii="Calibri" w:eastAsia="Calibri" w:hAnsi="Calibri" w:cs="David" w:hint="cs"/>
                <w:sz w:val="22"/>
                <w:szCs w:val="22"/>
                <w:rtl/>
              </w:rPr>
              <w:t xml:space="preserve">(שאל רבי יצחק את רב נחמן מה פתאום אתה מכנה את משיח </w:t>
            </w:r>
            <w:r w:rsidRPr="00FE3E91">
              <w:rPr>
                <w:rFonts w:ascii="Calibri" w:eastAsia="Calibri" w:hAnsi="Calibri" w:cs="David" w:hint="eastAsia"/>
                <w:sz w:val="22"/>
                <w:szCs w:val="22"/>
                <w:rtl/>
              </w:rPr>
              <w:t>בכינ</w:t>
            </w:r>
            <w:r w:rsidRPr="00FE3E91">
              <w:rPr>
                <w:rFonts w:ascii="Calibri" w:eastAsia="Calibri" w:hAnsi="Calibri" w:cs="David" w:hint="cs"/>
                <w:sz w:val="22"/>
                <w:szCs w:val="22"/>
                <w:rtl/>
              </w:rPr>
              <w:t>ו</w:t>
            </w:r>
            <w:r w:rsidRPr="00FE3E91">
              <w:rPr>
                <w:rFonts w:ascii="Calibri" w:eastAsia="Calibri" w:hAnsi="Calibri" w:cs="David" w:hint="eastAsia"/>
                <w:sz w:val="22"/>
                <w:szCs w:val="22"/>
                <w:rtl/>
              </w:rPr>
              <w:t>י</w:t>
            </w:r>
            <w:r w:rsidRPr="00FE3E91">
              <w:rPr>
                <w:rFonts w:ascii="Calibri" w:eastAsia="Calibri" w:hAnsi="Calibri" w:cs="David" w:hint="cs"/>
                <w:sz w:val="22"/>
                <w:szCs w:val="22"/>
                <w:rtl/>
              </w:rPr>
              <w:t xml:space="preserve"> שהוא לכאורה לא מכבד?) </w:t>
            </w:r>
            <w:r w:rsidRPr="00FE3E91">
              <w:rPr>
                <w:rFonts w:ascii="Calibri" w:eastAsia="Calibri" w:hAnsi="Calibri" w:cs="David"/>
                <w:sz w:val="22"/>
                <w:szCs w:val="22"/>
                <w:rtl/>
              </w:rPr>
              <w:t>- אמר ליה</w:t>
            </w:r>
            <w:r w:rsidRPr="00FE3E91">
              <w:rPr>
                <w:rFonts w:ascii="Calibri" w:eastAsia="Calibri" w:hAnsi="Calibri" w:cs="David" w:hint="cs"/>
                <w:sz w:val="22"/>
                <w:szCs w:val="22"/>
                <w:rtl/>
              </w:rPr>
              <w:t xml:space="preserve"> </w:t>
            </w:r>
            <w:r w:rsidRPr="00FE3E91">
              <w:rPr>
                <w:rFonts w:ascii="Calibri" w:eastAsia="Calibri" w:hAnsi="Calibri" w:cs="David"/>
                <w:sz w:val="22"/>
                <w:szCs w:val="22"/>
                <w:rtl/>
              </w:rPr>
              <w:t>אין</w:t>
            </w:r>
            <w:r w:rsidRPr="00FE3E91">
              <w:rPr>
                <w:rFonts w:ascii="Calibri" w:eastAsia="Calibri" w:hAnsi="Calibri" w:cs="David" w:hint="cs"/>
                <w:sz w:val="22"/>
                <w:szCs w:val="22"/>
                <w:rtl/>
              </w:rPr>
              <w:t xml:space="preserve"> (ענה לו רב נחמן, כן, זה הוא כינויו, והמקור שלי הוא פסוק מפורש בספר עמוס)</w:t>
            </w:r>
            <w:r w:rsidRPr="00FE3E91">
              <w:rPr>
                <w:rFonts w:ascii="Calibri" w:eastAsia="Calibri" w:hAnsi="Calibri" w:cs="David"/>
                <w:sz w:val="22"/>
                <w:szCs w:val="22"/>
                <w:rtl/>
              </w:rPr>
              <w:t xml:space="preserve">: </w:t>
            </w:r>
            <w:proofErr w:type="spellStart"/>
            <w:r w:rsidRPr="00FE3E91">
              <w:rPr>
                <w:rFonts w:ascii="Calibri" w:eastAsia="Calibri" w:hAnsi="Calibri" w:cs="David"/>
                <w:sz w:val="22"/>
                <w:szCs w:val="22"/>
                <w:rtl/>
              </w:rPr>
              <w:t>דכתיב</w:t>
            </w:r>
            <w:proofErr w:type="spellEnd"/>
            <w:r w:rsidRPr="00FE3E91">
              <w:rPr>
                <w:rFonts w:ascii="Calibri" w:eastAsia="Calibri" w:hAnsi="Calibri" w:cs="David"/>
                <w:sz w:val="22"/>
                <w:szCs w:val="22"/>
                <w:rtl/>
              </w:rPr>
              <w:t xml:space="preserve"> </w:t>
            </w:r>
            <w:r w:rsidRPr="00FE3E91">
              <w:rPr>
                <w:rFonts w:ascii="Calibri" w:eastAsia="Calibri" w:hAnsi="Calibri" w:cs="David" w:hint="cs"/>
                <w:sz w:val="22"/>
                <w:szCs w:val="22"/>
                <w:rtl/>
              </w:rPr>
              <w:t>'</w:t>
            </w:r>
            <w:r w:rsidRPr="00FE3E91">
              <w:rPr>
                <w:rFonts w:ascii="Calibri" w:eastAsia="Calibri" w:hAnsi="Calibri" w:cs="David"/>
                <w:sz w:val="22"/>
                <w:szCs w:val="22"/>
                <w:rtl/>
              </w:rPr>
              <w:t>בַּיּוֹם הַהוּא אָקִים</w:t>
            </w:r>
            <w:r w:rsidRPr="00FE3E91">
              <w:rPr>
                <w:rFonts w:ascii="Calibri" w:eastAsia="Calibri" w:hAnsi="Calibri" w:cs="David" w:hint="cs"/>
                <w:sz w:val="22"/>
                <w:szCs w:val="22"/>
                <w:rtl/>
              </w:rPr>
              <w:t xml:space="preserve">'" </w:t>
            </w:r>
            <w:r w:rsidRPr="00FE3E91">
              <w:rPr>
                <w:rFonts w:ascii="Calibri" w:eastAsia="Calibri" w:hAnsi="Calibri" w:cs="David" w:hint="cs"/>
                <w:sz w:val="20"/>
                <w:szCs w:val="20"/>
                <w:rtl/>
              </w:rPr>
              <w:t>(</w:t>
            </w:r>
            <w:r w:rsidRPr="00FE3E91">
              <w:rPr>
                <w:rFonts w:ascii="Calibri" w:eastAsia="Calibri" w:hAnsi="Calibri" w:cs="David"/>
                <w:sz w:val="20"/>
                <w:szCs w:val="20"/>
                <w:rtl/>
              </w:rPr>
              <w:t>דף צו ע</w:t>
            </w:r>
            <w:r w:rsidRPr="00FE3E91">
              <w:rPr>
                <w:rFonts w:ascii="Calibri" w:eastAsia="Calibri" w:hAnsi="Calibri" w:cs="David" w:hint="cs"/>
                <w:sz w:val="20"/>
                <w:szCs w:val="20"/>
                <w:rtl/>
              </w:rPr>
              <w:t>"</w:t>
            </w:r>
            <w:r w:rsidRPr="00FE3E91">
              <w:rPr>
                <w:rFonts w:ascii="Calibri" w:eastAsia="Calibri" w:hAnsi="Calibri" w:cs="David"/>
                <w:sz w:val="20"/>
                <w:szCs w:val="20"/>
                <w:rtl/>
              </w:rPr>
              <w:t>ב</w:t>
            </w:r>
            <w:r w:rsidRPr="00FE3E91">
              <w:rPr>
                <w:rFonts w:ascii="Calibri" w:eastAsia="Calibri" w:hAnsi="Calibri" w:cs="David" w:hint="cs"/>
                <w:sz w:val="20"/>
                <w:szCs w:val="20"/>
                <w:rtl/>
              </w:rPr>
              <w:t>).</w:t>
            </w:r>
            <w:r w:rsidRPr="00FE3E91">
              <w:rPr>
                <w:rFonts w:ascii="Calibri" w:eastAsia="Calibri" w:hAnsi="Calibri" w:cs="David" w:hint="cs"/>
                <w:sz w:val="22"/>
                <w:szCs w:val="22"/>
                <w:rtl/>
              </w:rPr>
              <w:t xml:space="preserve"> </w:t>
            </w:r>
          </w:p>
          <w:p w14:paraId="364535C2" w14:textId="30D566FF" w:rsidR="00FE3E91" w:rsidRPr="00FE3E91" w:rsidRDefault="00FE3E91" w:rsidP="00FE3E91">
            <w:pPr>
              <w:rPr>
                <w:rFonts w:ascii="David" w:eastAsia="Calibri" w:hAnsi="David" w:cs="David"/>
                <w:sz w:val="22"/>
                <w:szCs w:val="22"/>
                <w:rtl/>
              </w:rPr>
            </w:pPr>
            <w:r w:rsidRPr="00FE3E91">
              <w:rPr>
                <w:rFonts w:ascii="Calibri" w:eastAsia="Calibri" w:hAnsi="Calibri" w:cs="David" w:hint="cs"/>
                <w:sz w:val="22"/>
                <w:szCs w:val="22"/>
                <w:rtl/>
              </w:rPr>
              <w:t>נביא הוכחה נוספת לדברי רב נחמן על הקשר בין דוד לבין נפל מדברי המדרש הבא: "</w:t>
            </w:r>
            <w:r w:rsidRPr="00FE3E91">
              <w:rPr>
                <w:rFonts w:ascii="FrankRuehl" w:eastAsia="Calibri" w:hAnsi="FrankRuehl" w:cs="FrankRuehl"/>
                <w:sz w:val="23"/>
                <w:szCs w:val="23"/>
                <w:rtl/>
              </w:rPr>
              <w:t xml:space="preserve">'זֶה סֵפֶר </w:t>
            </w:r>
            <w:proofErr w:type="spellStart"/>
            <w:r w:rsidRPr="00FE3E91">
              <w:rPr>
                <w:rFonts w:ascii="FrankRuehl" w:eastAsia="Calibri" w:hAnsi="FrankRuehl" w:cs="FrankRuehl"/>
                <w:sz w:val="23"/>
                <w:szCs w:val="23"/>
                <w:rtl/>
              </w:rPr>
              <w:t>תּוֹלְדֹת</w:t>
            </w:r>
            <w:proofErr w:type="spellEnd"/>
            <w:r w:rsidRPr="00FE3E91">
              <w:rPr>
                <w:rFonts w:ascii="FrankRuehl" w:eastAsia="Calibri" w:hAnsi="FrankRuehl" w:cs="FrankRuehl"/>
                <w:sz w:val="23"/>
                <w:szCs w:val="23"/>
                <w:rtl/>
              </w:rPr>
              <w:t xml:space="preserve"> אָדָם'</w:t>
            </w:r>
            <w:r w:rsidRPr="00FE3E91">
              <w:rPr>
                <w:rFonts w:ascii="David" w:eastAsia="Calibri" w:hAnsi="David" w:cs="David"/>
                <w:sz w:val="22"/>
                <w:szCs w:val="22"/>
                <w:rtl/>
              </w:rPr>
              <w:t xml:space="preserve"> </w:t>
            </w:r>
            <w:r w:rsidRPr="00FE3E91">
              <w:rPr>
                <w:rFonts w:ascii="David" w:eastAsia="Calibri" w:hAnsi="David" w:cs="David"/>
                <w:sz w:val="20"/>
                <w:szCs w:val="20"/>
                <w:rtl/>
              </w:rPr>
              <w:t>(בראשית ה, א).</w:t>
            </w:r>
            <w:r w:rsidRPr="00FE3E91">
              <w:rPr>
                <w:rFonts w:ascii="David" w:eastAsia="Calibri" w:hAnsi="David" w:cs="David"/>
                <w:sz w:val="22"/>
                <w:szCs w:val="22"/>
                <w:rtl/>
              </w:rPr>
              <w:t xml:space="preserve"> מלמד שהראה לו הקדוש ברוך הוא לאדם הראשון דור </w:t>
            </w:r>
            <w:proofErr w:type="spellStart"/>
            <w:r w:rsidRPr="00FE3E91">
              <w:rPr>
                <w:rFonts w:ascii="David" w:eastAsia="Calibri" w:hAnsi="David" w:cs="David"/>
                <w:sz w:val="22"/>
                <w:szCs w:val="22"/>
                <w:rtl/>
              </w:rPr>
              <w:t>דור</w:t>
            </w:r>
            <w:proofErr w:type="spellEnd"/>
            <w:r w:rsidRPr="00FE3E91">
              <w:rPr>
                <w:rFonts w:ascii="David" w:eastAsia="Calibri" w:hAnsi="David" w:cs="David"/>
                <w:sz w:val="22"/>
                <w:szCs w:val="22"/>
                <w:rtl/>
              </w:rPr>
              <w:t xml:space="preserve"> ודורשיו </w:t>
            </w:r>
            <w:proofErr w:type="spellStart"/>
            <w:r w:rsidRPr="00FE3E91">
              <w:rPr>
                <w:rFonts w:ascii="David" w:eastAsia="Calibri" w:hAnsi="David" w:cs="David"/>
                <w:sz w:val="22"/>
                <w:szCs w:val="22"/>
                <w:rtl/>
              </w:rPr>
              <w:t>וכו</w:t>
            </w:r>
            <w:proofErr w:type="spellEnd"/>
            <w:r w:rsidRPr="00FE3E91">
              <w:rPr>
                <w:rFonts w:ascii="David" w:eastAsia="Calibri" w:hAnsi="David" w:cs="David"/>
                <w:sz w:val="22"/>
                <w:szCs w:val="22"/>
                <w:rtl/>
              </w:rPr>
              <w:t xml:space="preserve">'... העביר לפניו כל הדורות, הראהו דוד, חיים </w:t>
            </w:r>
            <w:proofErr w:type="spellStart"/>
            <w:r w:rsidRPr="00FE3E91">
              <w:rPr>
                <w:rFonts w:ascii="David" w:eastAsia="Calibri" w:hAnsi="David" w:cs="David"/>
                <w:sz w:val="22"/>
                <w:szCs w:val="22"/>
                <w:rtl/>
              </w:rPr>
              <w:t>חקוקין</w:t>
            </w:r>
            <w:proofErr w:type="spellEnd"/>
            <w:r w:rsidRPr="00FE3E91">
              <w:rPr>
                <w:rFonts w:ascii="David" w:eastAsia="Calibri" w:hAnsi="David" w:cs="David"/>
                <w:sz w:val="22"/>
                <w:szCs w:val="22"/>
                <w:rtl/>
              </w:rPr>
              <w:t xml:space="preserve"> לו ג' שעות, אמר לפניו: ריבונו של עולם! לא תהא תקנה לזה? אמר (ענה לו הקב"ה): כך עלתה במחשבה לפני. אמר לו (אדם הראשון לקב"ה): כמה שני חיי? אמר לו: אלף שנים. אמר לו (אדם הראשון לקב"ה): יש מתנה ברקיע? אמר לו: הן! אמר לו (אדם הראשון לקב"ה): ע' שנים משנותיי יהיו למזל זה</w:t>
            </w:r>
            <w:r w:rsidRPr="00FE3E91">
              <w:rPr>
                <w:rFonts w:ascii="David" w:eastAsia="Calibri" w:hAnsi="David" w:cs="David" w:hint="cs"/>
                <w:sz w:val="22"/>
                <w:szCs w:val="22"/>
                <w:rtl/>
              </w:rPr>
              <w:t xml:space="preserve">" </w:t>
            </w:r>
            <w:r w:rsidRPr="00FE3E91">
              <w:rPr>
                <w:rFonts w:ascii="David" w:eastAsia="Calibri" w:hAnsi="David" w:cs="David" w:hint="cs"/>
                <w:sz w:val="20"/>
                <w:szCs w:val="20"/>
                <w:rtl/>
              </w:rPr>
              <w:t>(</w:t>
            </w:r>
            <w:r w:rsidRPr="00FE3E91">
              <w:rPr>
                <w:rFonts w:ascii="David" w:eastAsia="Calibri" w:hAnsi="David" w:cs="David"/>
                <w:sz w:val="20"/>
                <w:szCs w:val="20"/>
                <w:rtl/>
              </w:rPr>
              <w:t xml:space="preserve">ילקוט שמעוני פרשת בראשית, רמז </w:t>
            </w:r>
            <w:proofErr w:type="spellStart"/>
            <w:r w:rsidRPr="00FE3E91">
              <w:rPr>
                <w:rFonts w:ascii="David" w:eastAsia="Calibri" w:hAnsi="David" w:cs="David"/>
                <w:sz w:val="20"/>
                <w:szCs w:val="20"/>
                <w:rtl/>
              </w:rPr>
              <w:t>מא</w:t>
            </w:r>
            <w:proofErr w:type="spellEnd"/>
            <w:r w:rsidRPr="00FE3E91">
              <w:rPr>
                <w:rFonts w:ascii="David" w:eastAsia="Calibri" w:hAnsi="David" w:cs="David" w:hint="cs"/>
                <w:sz w:val="20"/>
                <w:szCs w:val="20"/>
                <w:rtl/>
              </w:rPr>
              <w:t>).</w:t>
            </w:r>
            <w:r w:rsidRPr="00FE3E91">
              <w:rPr>
                <w:rFonts w:ascii="David" w:eastAsia="Calibri" w:hAnsi="David" w:cs="David" w:hint="cs"/>
                <w:sz w:val="22"/>
                <w:szCs w:val="22"/>
                <w:rtl/>
              </w:rPr>
              <w:t xml:space="preserve"> </w:t>
            </w:r>
          </w:p>
          <w:p w14:paraId="182C156B"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 xml:space="preserve">גם לפי מדרש זה הכינוי 'נפל', מתאים לדוד כי הוא היה אמור לחיות רק ג' שעות (בספרי צפנת שמואל - מלכות דוד ח"א בפרק המבוא נסביר זאת באריכות). </w:t>
            </w:r>
            <w:r w:rsidRPr="00FE3E91">
              <w:rPr>
                <w:rFonts w:ascii="Calibri" w:eastAsia="Calibri" w:hAnsi="Calibri" w:cs="David" w:hint="cs"/>
                <w:sz w:val="22"/>
                <w:szCs w:val="22"/>
                <w:rtl/>
              </w:rPr>
              <w:t xml:space="preserve">הסברו של רב נחמן והמדרש מבארים את הביטוי </w:t>
            </w:r>
            <w:r w:rsidRPr="00624468">
              <w:rPr>
                <w:rFonts w:ascii="FrankRuehl" w:eastAsia="Calibri" w:hAnsi="FrankRuehl" w:cs="FrankRuehl"/>
                <w:sz w:val="23"/>
                <w:szCs w:val="23"/>
                <w:rtl/>
              </w:rPr>
              <w:t>הַנֹּפֶלֶת</w:t>
            </w:r>
            <w:r w:rsidRPr="00FE3E91">
              <w:rPr>
                <w:rFonts w:ascii="Calibri" w:eastAsia="Calibri" w:hAnsi="Calibri" w:cs="David" w:hint="cs"/>
                <w:sz w:val="22"/>
                <w:szCs w:val="22"/>
                <w:rtl/>
              </w:rPr>
              <w:t xml:space="preserve"> שעל פי הכתוב קשור בעקיפין לסוכה, אבל איננו מבאר את הקשר בין דוד לסוכה. </w:t>
            </w:r>
          </w:p>
          <w:p w14:paraId="6E3E575A"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 xml:space="preserve">יונתן תרגם: (ורש"י הביאו כפירוש שני) </w:t>
            </w:r>
            <w:r w:rsidRPr="00624468">
              <w:rPr>
                <w:rFonts w:ascii="FrankRuehl" w:eastAsia="Calibri" w:hAnsi="FrankRuehl" w:cs="FrankRuehl"/>
                <w:sz w:val="23"/>
                <w:szCs w:val="23"/>
                <w:rtl/>
              </w:rPr>
              <w:t xml:space="preserve">"אָקִים </w:t>
            </w:r>
            <w:proofErr w:type="spellStart"/>
            <w:r w:rsidRPr="00624468">
              <w:rPr>
                <w:rFonts w:ascii="FrankRuehl" w:eastAsia="Calibri" w:hAnsi="FrankRuehl" w:cs="FrankRuehl"/>
                <w:sz w:val="23"/>
                <w:szCs w:val="23"/>
                <w:rtl/>
              </w:rPr>
              <w:t>יַת</w:t>
            </w:r>
            <w:proofErr w:type="spellEnd"/>
            <w:r w:rsidRPr="00624468">
              <w:rPr>
                <w:rFonts w:ascii="FrankRuehl" w:eastAsia="Calibri" w:hAnsi="FrankRuehl" w:cs="FrankRuehl"/>
                <w:sz w:val="23"/>
                <w:szCs w:val="23"/>
                <w:rtl/>
              </w:rPr>
              <w:t xml:space="preserve"> </w:t>
            </w:r>
            <w:proofErr w:type="spellStart"/>
            <w:r w:rsidRPr="00624468">
              <w:rPr>
                <w:rFonts w:ascii="FrankRuehl" w:eastAsia="Calibri" w:hAnsi="FrankRuehl" w:cs="FrankRuehl"/>
                <w:sz w:val="23"/>
                <w:szCs w:val="23"/>
                <w:rtl/>
              </w:rPr>
              <w:t>מַלְכוּתָא</w:t>
            </w:r>
            <w:proofErr w:type="spellEnd"/>
            <w:r w:rsidRPr="00624468">
              <w:rPr>
                <w:rFonts w:ascii="FrankRuehl" w:eastAsia="Calibri" w:hAnsi="FrankRuehl" w:cs="FrankRuehl"/>
                <w:sz w:val="23"/>
                <w:szCs w:val="23"/>
                <w:rtl/>
              </w:rPr>
              <w:t xml:space="preserve"> </w:t>
            </w:r>
            <w:proofErr w:type="spellStart"/>
            <w:r w:rsidRPr="00624468">
              <w:rPr>
                <w:rFonts w:ascii="FrankRuehl" w:eastAsia="Calibri" w:hAnsi="FrankRuehl" w:cs="FrankRuehl"/>
                <w:sz w:val="23"/>
                <w:szCs w:val="23"/>
                <w:rtl/>
              </w:rPr>
              <w:t>דְבֵית</w:t>
            </w:r>
            <w:proofErr w:type="spellEnd"/>
            <w:r w:rsidRPr="00624468">
              <w:rPr>
                <w:rFonts w:ascii="FrankRuehl" w:eastAsia="Calibri" w:hAnsi="FrankRuehl" w:cs="FrankRuehl"/>
                <w:sz w:val="23"/>
                <w:szCs w:val="23"/>
                <w:rtl/>
              </w:rPr>
              <w:t xml:space="preserve"> דָוִד </w:t>
            </w:r>
            <w:proofErr w:type="spellStart"/>
            <w:r w:rsidRPr="00624468">
              <w:rPr>
                <w:rFonts w:ascii="FrankRuehl" w:eastAsia="Calibri" w:hAnsi="FrankRuehl" w:cs="FrankRuehl"/>
                <w:sz w:val="23"/>
                <w:szCs w:val="23"/>
                <w:rtl/>
              </w:rPr>
              <w:t>דְנָפְלַת</w:t>
            </w:r>
            <w:proofErr w:type="spellEnd"/>
            <w:r w:rsidRPr="00624468">
              <w:rPr>
                <w:rFonts w:ascii="FrankRuehl" w:eastAsia="Calibri" w:hAnsi="FrankRuehl" w:cs="FrankRuehl"/>
                <w:sz w:val="23"/>
                <w:szCs w:val="23"/>
                <w:rtl/>
              </w:rPr>
              <w:t>".</w:t>
            </w:r>
            <w:r w:rsidRPr="00FE3E91">
              <w:rPr>
                <w:rFonts w:ascii="David" w:eastAsia="Calibri" w:hAnsi="David" w:cs="David" w:hint="cs"/>
                <w:sz w:val="22"/>
                <w:szCs w:val="22"/>
                <w:rtl/>
              </w:rPr>
              <w:t xml:space="preserve"> גם הוא לא הסביר את הקשר בין דוד מלכותו והסוכה. </w:t>
            </w:r>
          </w:p>
          <w:p w14:paraId="68A9FB59" w14:textId="77777777" w:rsidR="00FE3E91" w:rsidRPr="00FE3E91" w:rsidRDefault="00FE3E91" w:rsidP="00FE3E91">
            <w:pPr>
              <w:rPr>
                <w:rFonts w:ascii="David" w:eastAsia="Calibri" w:hAnsi="David" w:cs="David"/>
                <w:sz w:val="22"/>
                <w:szCs w:val="22"/>
                <w:rtl/>
              </w:rPr>
            </w:pPr>
            <w:proofErr w:type="spellStart"/>
            <w:r w:rsidRPr="00FE3E91">
              <w:rPr>
                <w:rFonts w:ascii="David" w:eastAsia="Calibri" w:hAnsi="David" w:cs="David" w:hint="cs"/>
                <w:sz w:val="22"/>
                <w:szCs w:val="22"/>
                <w:rtl/>
              </w:rPr>
              <w:t>רד"ק</w:t>
            </w:r>
            <w:proofErr w:type="spellEnd"/>
            <w:r w:rsidRPr="00FE3E91">
              <w:rPr>
                <w:rFonts w:ascii="David" w:eastAsia="Calibri" w:hAnsi="David" w:cs="David" w:hint="cs"/>
                <w:sz w:val="22"/>
                <w:szCs w:val="22"/>
                <w:rtl/>
              </w:rPr>
              <w:t xml:space="preserve"> במקום מבאר: "</w:t>
            </w:r>
            <w:r w:rsidRPr="00FE3E91">
              <w:rPr>
                <w:rFonts w:ascii="David" w:eastAsia="Calibri" w:hAnsi="David" w:cs="David"/>
                <w:sz w:val="22"/>
                <w:szCs w:val="22"/>
                <w:rtl/>
              </w:rPr>
              <w:t>אמר כי מלכות דוד תקום והיא הסוכה על דרך משל כי היא סוככת על העם</w:t>
            </w:r>
            <w:r w:rsidRPr="00FE3E91">
              <w:rPr>
                <w:rFonts w:ascii="David" w:eastAsia="Calibri" w:hAnsi="David" w:cs="David" w:hint="cs"/>
                <w:sz w:val="22"/>
                <w:szCs w:val="22"/>
                <w:rtl/>
              </w:rPr>
              <w:t xml:space="preserve">". על פי דבריו אין לביטוי </w:t>
            </w:r>
            <w:r w:rsidRPr="00FE3E91">
              <w:rPr>
                <w:rFonts w:ascii="FrankRuehl" w:eastAsia="Calibri" w:hAnsi="FrankRuehl" w:cs="FrankRuehl"/>
                <w:sz w:val="23"/>
                <w:szCs w:val="23"/>
                <w:rtl/>
              </w:rPr>
              <w:t>סֻכַּת דָּוִיד</w:t>
            </w:r>
            <w:r w:rsidRPr="00FE3E91">
              <w:rPr>
                <w:rFonts w:ascii="David" w:eastAsia="Calibri" w:hAnsi="David" w:cs="David" w:hint="cs"/>
                <w:sz w:val="22"/>
                <w:szCs w:val="22"/>
                <w:rtl/>
              </w:rPr>
              <w:t>, כל קשר ישיר לחג הסוכות וממילא אין סיבה מיוחדת להזכיר פסוק זה בברכת המזון דווקא בחג הסוכות.</w:t>
            </w:r>
          </w:p>
          <w:p w14:paraId="5C1C75A6"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באלשיך פירש: "</w:t>
            </w:r>
            <w:r w:rsidRPr="00FE3E91">
              <w:rPr>
                <w:rFonts w:ascii="David" w:eastAsia="Calibri" w:hAnsi="David" w:cs="David"/>
                <w:sz w:val="22"/>
                <w:szCs w:val="22"/>
                <w:rtl/>
              </w:rPr>
              <w:t>היא השכינה הסוככת ומרחפת על בניה</w:t>
            </w:r>
            <w:r w:rsidRPr="00FE3E91">
              <w:rPr>
                <w:rFonts w:ascii="David" w:eastAsia="Calibri" w:hAnsi="David" w:cs="David" w:hint="cs"/>
                <w:sz w:val="22"/>
                <w:szCs w:val="22"/>
                <w:rtl/>
              </w:rPr>
              <w:t xml:space="preserve">". גם דברים אלה אינם מסבירים את הקשר בין הסוכה לדוד </w:t>
            </w:r>
            <w:proofErr w:type="spellStart"/>
            <w:r w:rsidRPr="00FE3E91">
              <w:rPr>
                <w:rFonts w:ascii="David" w:eastAsia="Calibri" w:hAnsi="David" w:cs="David" w:hint="cs"/>
                <w:sz w:val="22"/>
                <w:szCs w:val="22"/>
                <w:rtl/>
              </w:rPr>
              <w:t>בדווקא</w:t>
            </w:r>
            <w:proofErr w:type="spellEnd"/>
            <w:r w:rsidRPr="00FE3E91">
              <w:rPr>
                <w:rFonts w:ascii="David" w:eastAsia="Calibri" w:hAnsi="David" w:cs="David" w:hint="cs"/>
                <w:sz w:val="22"/>
                <w:szCs w:val="22"/>
                <w:rtl/>
              </w:rPr>
              <w:t xml:space="preserve"> ומדוע זה קשור לחג הסוכות. </w:t>
            </w:r>
          </w:p>
          <w:p w14:paraId="4ADA45DC"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המהר"ל מפראג בספרו</w:t>
            </w:r>
            <w:r w:rsidRPr="00FE3E91">
              <w:rPr>
                <w:rFonts w:ascii="David" w:eastAsia="Calibri" w:hAnsi="David" w:cs="David"/>
                <w:sz w:val="22"/>
                <w:szCs w:val="22"/>
                <w:rtl/>
              </w:rPr>
              <w:t xml:space="preserve"> נצח ישראל</w:t>
            </w:r>
            <w:r w:rsidRPr="00FE3E91">
              <w:rPr>
                <w:rFonts w:ascii="David" w:eastAsia="Calibri" w:hAnsi="David" w:cs="David" w:hint="cs"/>
                <w:sz w:val="22"/>
                <w:szCs w:val="22"/>
                <w:rtl/>
              </w:rPr>
              <w:t>,</w:t>
            </w:r>
            <w:r w:rsidRPr="00FE3E91">
              <w:rPr>
                <w:rFonts w:ascii="David" w:eastAsia="Calibri" w:hAnsi="David" w:cs="David"/>
                <w:sz w:val="22"/>
                <w:szCs w:val="22"/>
                <w:rtl/>
              </w:rPr>
              <w:t xml:space="preserve"> </w:t>
            </w:r>
            <w:r w:rsidRPr="00FE3E91">
              <w:rPr>
                <w:rFonts w:ascii="David" w:eastAsia="Calibri" w:hAnsi="David" w:cs="David" w:hint="cs"/>
                <w:sz w:val="22"/>
                <w:szCs w:val="22"/>
                <w:rtl/>
              </w:rPr>
              <w:t>מנסה לתרץ קושיות אלה "</w:t>
            </w:r>
            <w:r w:rsidRPr="00FE3E91">
              <w:rPr>
                <w:rFonts w:ascii="David" w:eastAsia="Calibri" w:hAnsi="David" w:cs="David"/>
                <w:sz w:val="22"/>
                <w:szCs w:val="22"/>
                <w:rtl/>
              </w:rPr>
              <w:t xml:space="preserve">וביאור דברים אלו, דע שנקרא מלכות בית דוד 'סוכה'. כי כל מלכות נקרא 'בית', וכמו שפירשו רז"ל </w:t>
            </w:r>
            <w:r w:rsidRPr="00FE3E91">
              <w:rPr>
                <w:rFonts w:ascii="David" w:eastAsia="Calibri" w:hAnsi="David" w:cs="David"/>
                <w:sz w:val="20"/>
                <w:szCs w:val="20"/>
                <w:rtl/>
              </w:rPr>
              <w:t xml:space="preserve">(סוטה </w:t>
            </w:r>
            <w:r w:rsidRPr="00FE3E91">
              <w:rPr>
                <w:rFonts w:ascii="David" w:eastAsia="Calibri" w:hAnsi="David" w:cs="David" w:hint="cs"/>
                <w:sz w:val="20"/>
                <w:szCs w:val="20"/>
                <w:rtl/>
              </w:rPr>
              <w:t xml:space="preserve">דף </w:t>
            </w:r>
            <w:r w:rsidRPr="00FE3E91">
              <w:rPr>
                <w:rFonts w:ascii="David" w:eastAsia="Calibri" w:hAnsi="David" w:cs="David"/>
                <w:sz w:val="20"/>
                <w:szCs w:val="20"/>
                <w:rtl/>
              </w:rPr>
              <w:t xml:space="preserve">יא </w:t>
            </w:r>
            <w:r w:rsidRPr="00FE3E91">
              <w:rPr>
                <w:rFonts w:ascii="David" w:eastAsia="Calibri" w:hAnsi="David" w:cs="David" w:hint="cs"/>
                <w:sz w:val="20"/>
                <w:szCs w:val="20"/>
                <w:rtl/>
              </w:rPr>
              <w:t>ע"</w:t>
            </w:r>
            <w:r w:rsidRPr="00FE3E91">
              <w:rPr>
                <w:rFonts w:ascii="David" w:eastAsia="Calibri" w:hAnsi="David" w:cs="David"/>
                <w:sz w:val="20"/>
                <w:szCs w:val="20"/>
                <w:rtl/>
              </w:rPr>
              <w:t>ב)</w:t>
            </w:r>
            <w:r w:rsidRPr="00FE3E91">
              <w:rPr>
                <w:rFonts w:ascii="David" w:eastAsia="Calibri" w:hAnsi="David" w:cs="David"/>
                <w:sz w:val="22"/>
                <w:szCs w:val="22"/>
                <w:rtl/>
              </w:rPr>
              <w:t xml:space="preserve"> "ויעש להם בתים" </w:t>
            </w:r>
            <w:r w:rsidRPr="00FE3E91">
              <w:rPr>
                <w:rFonts w:ascii="David" w:eastAsia="Calibri" w:hAnsi="David" w:cs="David"/>
                <w:sz w:val="20"/>
                <w:szCs w:val="20"/>
                <w:rtl/>
              </w:rPr>
              <w:t xml:space="preserve">(שמות א, </w:t>
            </w:r>
            <w:proofErr w:type="spellStart"/>
            <w:r w:rsidRPr="00FE3E91">
              <w:rPr>
                <w:rFonts w:ascii="David" w:eastAsia="Calibri" w:hAnsi="David" w:cs="David"/>
                <w:sz w:val="20"/>
                <w:szCs w:val="20"/>
                <w:rtl/>
              </w:rPr>
              <w:t>כא</w:t>
            </w:r>
            <w:proofErr w:type="spellEnd"/>
            <w:r w:rsidRPr="00FE3E91">
              <w:rPr>
                <w:rFonts w:ascii="David" w:eastAsia="Calibri" w:hAnsi="David" w:cs="David"/>
                <w:sz w:val="20"/>
                <w:szCs w:val="20"/>
                <w:rtl/>
              </w:rPr>
              <w:t>),</w:t>
            </w:r>
            <w:r w:rsidRPr="00FE3E91">
              <w:rPr>
                <w:rFonts w:ascii="David" w:eastAsia="Calibri" w:hAnsi="David" w:cs="David"/>
                <w:sz w:val="22"/>
                <w:szCs w:val="22"/>
                <w:rtl/>
              </w:rPr>
              <w:t xml:space="preserve"> בתי כהונה ומלכות. לפי שהדבר שהוא מציאות חזק בעולם נקרא 'בית', שהוא בנין קבוע. וכן המלכות נקרא 'בית', מפני החוזק והקביעות שיש למלכות. וכמו הכהונה נקרא 'בית' מפני חוזק הכהונה, שאין לו הסרה לעולם. ולפיכך קרא מלכות בית דוד 'סוכה', לפי שמלכות בית דוד הוא מלכות </w:t>
            </w:r>
            <w:proofErr w:type="spellStart"/>
            <w:r w:rsidRPr="00FE3E91">
              <w:rPr>
                <w:rFonts w:ascii="David" w:eastAsia="Calibri" w:hAnsi="David" w:cs="David"/>
                <w:sz w:val="22"/>
                <w:szCs w:val="22"/>
                <w:rtl/>
              </w:rPr>
              <w:t>אלקי</w:t>
            </w:r>
            <w:proofErr w:type="spellEnd"/>
            <w:r w:rsidRPr="00FE3E91">
              <w:rPr>
                <w:rFonts w:ascii="David" w:eastAsia="Calibri" w:hAnsi="David" w:cs="David"/>
                <w:sz w:val="22"/>
                <w:szCs w:val="22"/>
                <w:rtl/>
              </w:rPr>
              <w:t xml:space="preserve">, לא כמו שאר מלכות שהוא חול. ולפיכך לא קראו אותו 'בית', שהוא בנין קבוע, כמו הדברים </w:t>
            </w:r>
            <w:proofErr w:type="spellStart"/>
            <w:r w:rsidRPr="00FE3E91">
              <w:rPr>
                <w:rFonts w:ascii="David" w:eastAsia="Calibri" w:hAnsi="David" w:cs="David"/>
                <w:sz w:val="22"/>
                <w:szCs w:val="22"/>
                <w:rtl/>
              </w:rPr>
              <w:t>הטבעים</w:t>
            </w:r>
            <w:proofErr w:type="spellEnd"/>
            <w:r w:rsidRPr="00FE3E91">
              <w:rPr>
                <w:rFonts w:ascii="David" w:eastAsia="Calibri" w:hAnsi="David" w:cs="David"/>
                <w:sz w:val="22"/>
                <w:szCs w:val="22"/>
                <w:rtl/>
              </w:rPr>
              <w:t xml:space="preserve"> שהם בעולם קבועים. אבל הדברים האלקים אינם בעולם הזה קבועים, רק הם ארעי, כמו הסוכה שהיא ארעי. ולפיכך קיימא לן סוכה דירת ארעי בעינן, מפני שהסוכה מצוה </w:t>
            </w:r>
            <w:proofErr w:type="spellStart"/>
            <w:r w:rsidRPr="00FE3E91">
              <w:rPr>
                <w:rFonts w:ascii="David" w:eastAsia="Calibri" w:hAnsi="David" w:cs="David"/>
                <w:sz w:val="22"/>
                <w:szCs w:val="22"/>
                <w:rtl/>
              </w:rPr>
              <w:t>אלקית</w:t>
            </w:r>
            <w:proofErr w:type="spellEnd"/>
            <w:r w:rsidRPr="00FE3E91">
              <w:rPr>
                <w:rFonts w:ascii="David" w:eastAsia="Calibri" w:hAnsi="David" w:cs="David"/>
                <w:sz w:val="22"/>
                <w:szCs w:val="22"/>
                <w:rtl/>
              </w:rPr>
              <w:t xml:space="preserve">, ראויה שתהיה הדירה שבה ארעי ולא קבע. ואמר </w:t>
            </w:r>
            <w:r w:rsidRPr="00C46929">
              <w:rPr>
                <w:rFonts w:ascii="David" w:eastAsia="Calibri" w:hAnsi="David" w:cs="David"/>
                <w:sz w:val="20"/>
                <w:szCs w:val="20"/>
                <w:rtl/>
              </w:rPr>
              <w:t>(עמוס ט, יא)</w:t>
            </w:r>
            <w:r w:rsidRPr="00FE3E91">
              <w:rPr>
                <w:rFonts w:ascii="David" w:eastAsia="Calibri" w:hAnsi="David" w:cs="David"/>
                <w:sz w:val="22"/>
                <w:szCs w:val="22"/>
                <w:rtl/>
              </w:rPr>
              <w:t xml:space="preserve"> "ביום ההוא אקים את סוכת דוד הנופלת"</w:t>
            </w:r>
            <w:r w:rsidRPr="00FE3E91">
              <w:rPr>
                <w:rFonts w:ascii="David" w:eastAsia="Calibri" w:hAnsi="David" w:cs="David" w:hint="cs"/>
                <w:sz w:val="22"/>
                <w:szCs w:val="22"/>
                <w:rtl/>
              </w:rPr>
              <w:t xml:space="preserve"> "</w:t>
            </w:r>
            <w:r w:rsidRPr="00FE3E91">
              <w:rPr>
                <w:rFonts w:ascii="David" w:eastAsia="Calibri" w:hAnsi="David" w:cs="David"/>
                <w:sz w:val="22"/>
                <w:szCs w:val="22"/>
                <w:rtl/>
              </w:rPr>
              <w:t xml:space="preserve"> </w:t>
            </w:r>
            <w:r w:rsidRPr="00FE3E91">
              <w:rPr>
                <w:rFonts w:ascii="David" w:eastAsia="Calibri" w:hAnsi="David" w:cs="David" w:hint="cs"/>
                <w:sz w:val="20"/>
                <w:szCs w:val="20"/>
                <w:rtl/>
              </w:rPr>
              <w:t>(</w:t>
            </w:r>
            <w:r w:rsidRPr="00FE3E91">
              <w:rPr>
                <w:rFonts w:ascii="David" w:eastAsia="Calibri" w:hAnsi="David" w:cs="David"/>
                <w:sz w:val="20"/>
                <w:szCs w:val="20"/>
                <w:rtl/>
              </w:rPr>
              <w:t>פרק לה</w:t>
            </w:r>
            <w:r w:rsidRPr="00FE3E91">
              <w:rPr>
                <w:rFonts w:ascii="David" w:eastAsia="Calibri" w:hAnsi="David" w:cs="David" w:hint="cs"/>
                <w:sz w:val="20"/>
                <w:szCs w:val="20"/>
                <w:rtl/>
              </w:rPr>
              <w:t>).</w:t>
            </w:r>
            <w:r w:rsidRPr="00FE3E91">
              <w:rPr>
                <w:rFonts w:ascii="David" w:eastAsia="Calibri" w:hAnsi="David" w:cs="David" w:hint="cs"/>
                <w:sz w:val="22"/>
                <w:szCs w:val="22"/>
                <w:rtl/>
              </w:rPr>
              <w:t xml:space="preserve"> דבריו הנפלאים מסבירים את ההיגיו</w:t>
            </w:r>
            <w:r w:rsidRPr="00FE3E91">
              <w:rPr>
                <w:rFonts w:ascii="David" w:eastAsia="Calibri" w:hAnsi="David" w:cs="David" w:hint="eastAsia"/>
                <w:sz w:val="22"/>
                <w:szCs w:val="22"/>
                <w:rtl/>
              </w:rPr>
              <w:t>ן</w:t>
            </w:r>
            <w:r w:rsidRPr="00FE3E91">
              <w:rPr>
                <w:rFonts w:ascii="David" w:eastAsia="Calibri" w:hAnsi="David" w:cs="David" w:hint="cs"/>
                <w:sz w:val="22"/>
                <w:szCs w:val="22"/>
                <w:rtl/>
              </w:rPr>
              <w:t xml:space="preserve"> לכנות את מלכות דוד בשם סוכה נפלת, אבל אינם מסבירים מדוע הנביא בחר בביטוי הקשור לחג הסוכות והאם יש לזה מקור בכתוב אחר. </w:t>
            </w:r>
          </w:p>
          <w:p w14:paraId="32B6D99F"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בשבוע הבא נמשיך בע"ה לברר את הנושא.</w:t>
            </w:r>
          </w:p>
          <w:p w14:paraId="2BC7744A" w14:textId="77777777" w:rsidR="00FE3E91" w:rsidRPr="00FE3E91" w:rsidRDefault="00FE3E91" w:rsidP="00FE3E91">
            <w:pPr>
              <w:rPr>
                <w:rFonts w:ascii="David" w:eastAsia="Calibri" w:hAnsi="David" w:cs="David"/>
                <w:sz w:val="10"/>
                <w:szCs w:val="10"/>
                <w:rtl/>
              </w:rPr>
            </w:pPr>
          </w:p>
          <w:p w14:paraId="1DC51852" w14:textId="77777777" w:rsidR="00FE3E91" w:rsidRP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בינתיים נאחל אחדות בעם ישראל, אחדות שמשמעותה שכל אחד חושב שהשני הוא האתרוג והוא הערבה. אחדות בה כל היהודים נכנסים תחת האלונקה מכל הבחינות. אחדות שבאה לידי ביטוי במאמר חז"ל: ראויי</w:t>
            </w:r>
            <w:r w:rsidRPr="00FE3E91">
              <w:rPr>
                <w:rFonts w:ascii="David" w:eastAsia="Calibri" w:hAnsi="David" w:cs="David" w:hint="eastAsia"/>
                <w:sz w:val="22"/>
                <w:szCs w:val="22"/>
                <w:rtl/>
              </w:rPr>
              <w:t>ם</w:t>
            </w:r>
            <w:r w:rsidRPr="00FE3E91">
              <w:rPr>
                <w:rFonts w:ascii="David" w:eastAsia="Calibri" w:hAnsi="David" w:cs="David" w:hint="cs"/>
                <w:sz w:val="22"/>
                <w:szCs w:val="22"/>
                <w:rtl/>
              </w:rPr>
              <w:t xml:space="preserve"> כל ישראל </w:t>
            </w:r>
            <w:proofErr w:type="spellStart"/>
            <w:r w:rsidRPr="00FE3E91">
              <w:rPr>
                <w:rFonts w:ascii="David" w:eastAsia="Calibri" w:hAnsi="David" w:cs="David" w:hint="cs"/>
                <w:sz w:val="22"/>
                <w:szCs w:val="22"/>
                <w:rtl/>
              </w:rPr>
              <w:t>לישב</w:t>
            </w:r>
            <w:proofErr w:type="spellEnd"/>
            <w:r w:rsidRPr="00FE3E91">
              <w:rPr>
                <w:rFonts w:ascii="David" w:eastAsia="Calibri" w:hAnsi="David" w:cs="David" w:hint="cs"/>
                <w:sz w:val="22"/>
                <w:szCs w:val="22"/>
                <w:rtl/>
              </w:rPr>
              <w:t xml:space="preserve"> בסוכה אחת. </w:t>
            </w:r>
          </w:p>
          <w:p w14:paraId="761941E0" w14:textId="6791A89D" w:rsidR="00FE3E91" w:rsidRDefault="00FE3E91" w:rsidP="00FE3E91">
            <w:pPr>
              <w:rPr>
                <w:rFonts w:ascii="David" w:eastAsia="Calibri" w:hAnsi="David" w:cs="David"/>
                <w:sz w:val="22"/>
                <w:szCs w:val="22"/>
                <w:rtl/>
              </w:rPr>
            </w:pPr>
            <w:r w:rsidRPr="00FE3E91">
              <w:rPr>
                <w:rFonts w:ascii="David" w:eastAsia="Calibri" w:hAnsi="David" w:cs="David" w:hint="cs"/>
                <w:sz w:val="22"/>
                <w:szCs w:val="22"/>
                <w:rtl/>
              </w:rPr>
              <w:t>נאחל לכל החטופים ששבו, חזרה לחיים נורמליי</w:t>
            </w:r>
            <w:r w:rsidRPr="00FE3E91">
              <w:rPr>
                <w:rFonts w:ascii="David" w:eastAsia="Calibri" w:hAnsi="David" w:cs="David" w:hint="eastAsia"/>
                <w:sz w:val="22"/>
                <w:szCs w:val="22"/>
                <w:rtl/>
              </w:rPr>
              <w:t>ם</w:t>
            </w:r>
            <w:r w:rsidRPr="00FE3E91">
              <w:rPr>
                <w:rFonts w:ascii="David" w:eastAsia="Calibri" w:hAnsi="David" w:cs="David" w:hint="cs"/>
                <w:sz w:val="22"/>
                <w:szCs w:val="22"/>
                <w:rtl/>
              </w:rPr>
              <w:t xml:space="preserve"> וטובים, בבריאות איתנה יחד עם כל פצועי המלחמה. נחמה למשפחות שמביאות עתה את יקיריהן לקבר ישראל יחד עם כל המשפחות השכולות. חיסול ארגון הטרור הנפשע -החמאס, כתנועה חמושה המנסה לחסל את מדינת ישראל. ואיחולים לכל עם ישראל והאנושות כולה, להתקדמות בהסכמי אברהם, מתוך הבנה שמדינת ישראל בטוחה בארץ ישראל היא הבסיס ליציבות ושגשוג לכל שוחרי השלום במזרח התיכון ובעולם.</w:t>
            </w:r>
          </w:p>
          <w:p w14:paraId="78D0D7EE" w14:textId="77777777" w:rsidR="00FA5342" w:rsidRPr="00FA5342" w:rsidRDefault="00FA5342" w:rsidP="00FA5342">
            <w:pPr>
              <w:rPr>
                <w:rFonts w:ascii="David" w:hAnsi="David" w:cs="David"/>
                <w:sz w:val="12"/>
                <w:szCs w:val="12"/>
              </w:rPr>
            </w:pPr>
          </w:p>
          <w:p w14:paraId="7EF8ADFB" w14:textId="77777777" w:rsidR="00FA5342" w:rsidRDefault="00FA5342" w:rsidP="00FA5342">
            <w:pPr>
              <w:jc w:val="center"/>
              <w:rPr>
                <w:rFonts w:ascii="David" w:hAnsi="David" w:cs="David"/>
                <w:color w:val="002060"/>
                <w:sz w:val="22"/>
                <w:szCs w:val="22"/>
                <w:rtl/>
              </w:rPr>
            </w:pPr>
            <w:r>
              <w:rPr>
                <w:rFonts w:ascii="David" w:hAnsi="David" w:cs="David"/>
                <w:color w:val="002060"/>
                <w:sz w:val="22"/>
                <w:szCs w:val="22"/>
              </w:rPr>
              <w:t>)</w:t>
            </w:r>
            <w:hyperlink r:id="rId11" w:history="1">
              <w:r>
                <w:rPr>
                  <w:rStyle w:val="Hyperlink"/>
                  <w:rFonts w:ascii="David" w:hAnsi="David" w:cs="David"/>
                  <w:color w:val="002060"/>
                  <w:sz w:val="22"/>
                  <w:szCs w:val="22"/>
                  <w:rtl/>
                </w:rPr>
                <w:t xml:space="preserve">לשיעורי הרב יוסף כרמל </w:t>
              </w:r>
              <w:proofErr w:type="spellStart"/>
              <w:r>
                <w:rPr>
                  <w:rStyle w:val="Hyperlink"/>
                  <w:rFonts w:ascii="David" w:hAnsi="David" w:cs="David"/>
                  <w:color w:val="002060"/>
                  <w:sz w:val="22"/>
                  <w:szCs w:val="22"/>
                  <w:rtl/>
                </w:rPr>
                <w:t>ביוטיוב</w:t>
              </w:r>
              <w:proofErr w:type="spellEnd"/>
            </w:hyperlink>
            <w:r>
              <w:rPr>
                <w:rStyle w:val="Hyperlink"/>
                <w:rFonts w:ascii="David" w:hAnsi="David" w:cs="David"/>
                <w:color w:val="002060"/>
                <w:sz w:val="22"/>
                <w:szCs w:val="22"/>
                <w:rtl/>
              </w:rPr>
              <w:t>)</w:t>
            </w:r>
          </w:p>
          <w:p w14:paraId="25378560" w14:textId="77777777" w:rsidR="00FA5342" w:rsidRDefault="00FA5342" w:rsidP="00FA5342">
            <w:pPr>
              <w:spacing w:line="276" w:lineRule="auto"/>
              <w:rPr>
                <w:rFonts w:ascii="David" w:hAnsi="David" w:cs="David"/>
                <w:sz w:val="8"/>
                <w:szCs w:val="8"/>
                <w:rtl/>
              </w:rPr>
            </w:pPr>
          </w:p>
          <w:p w14:paraId="4A3CC423" w14:textId="77777777" w:rsidR="00FA5342" w:rsidRPr="00D8049C" w:rsidRDefault="00FA5342" w:rsidP="00FE3E91">
            <w:pPr>
              <w:spacing w:line="360" w:lineRule="auto"/>
              <w:jc w:val="center"/>
              <w:rPr>
                <w:rFonts w:ascii="David" w:hAnsi="David" w:cs="David"/>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D8049C">
              <w:trPr>
                <w:trHeight w:val="273"/>
              </w:trPr>
              <w:tc>
                <w:tcPr>
                  <w:tcW w:w="3802" w:type="dxa"/>
                  <w:gridSpan w:val="6"/>
                  <w:tcMar>
                    <w:top w:w="0" w:type="dxa"/>
                    <w:left w:w="108" w:type="dxa"/>
                    <w:bottom w:w="0" w:type="dxa"/>
                    <w:right w:w="108" w:type="dxa"/>
                  </w:tcMar>
                  <w:vAlign w:val="center"/>
                </w:tcPr>
                <w:p w14:paraId="3DF52FB6" w14:textId="406EC90C" w:rsidR="0024401E" w:rsidRPr="00A6414A" w:rsidRDefault="0024401E" w:rsidP="00FE3E91">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FE3E91">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FE3E91">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3" w:type="dxa"/>
                  <w:gridSpan w:val="10"/>
                  <w:vAlign w:val="center"/>
                </w:tcPr>
                <w:p w14:paraId="02342480" w14:textId="67B22375" w:rsidR="0024401E" w:rsidRPr="00A6414A" w:rsidRDefault="0024401E" w:rsidP="00FE3E91">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D8049C">
              <w:trPr>
                <w:trHeight w:val="273"/>
              </w:trPr>
              <w:tc>
                <w:tcPr>
                  <w:tcW w:w="1823" w:type="dxa"/>
                  <w:tcMar>
                    <w:top w:w="0" w:type="dxa"/>
                    <w:left w:w="108" w:type="dxa"/>
                    <w:bottom w:w="0" w:type="dxa"/>
                    <w:right w:w="108" w:type="dxa"/>
                  </w:tcMar>
                  <w:vAlign w:val="center"/>
                </w:tcPr>
                <w:p w14:paraId="45249B57" w14:textId="77777777" w:rsidR="00A6414A" w:rsidRPr="00A6414A" w:rsidRDefault="00A6414A" w:rsidP="00FE3E91">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5" w:type="dxa"/>
                  <w:gridSpan w:val="4"/>
                  <w:vAlign w:val="center"/>
                </w:tcPr>
                <w:p w14:paraId="42C295CC" w14:textId="6678D7A4" w:rsidR="00A6414A" w:rsidRPr="00A6414A" w:rsidRDefault="00A6414A" w:rsidP="00FE3E91">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FE3E91">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FE3E91">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41" w:type="dxa"/>
                  <w:gridSpan w:val="3"/>
                  <w:vAlign w:val="center"/>
                </w:tcPr>
                <w:p w14:paraId="37822EA7"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D8049C">
              <w:trPr>
                <w:trHeight w:val="427"/>
              </w:trPr>
              <w:tc>
                <w:tcPr>
                  <w:tcW w:w="2247" w:type="dxa"/>
                  <w:gridSpan w:val="3"/>
                  <w:tcMar>
                    <w:top w:w="0" w:type="dxa"/>
                    <w:left w:w="108" w:type="dxa"/>
                    <w:bottom w:w="0" w:type="dxa"/>
                    <w:right w:w="108" w:type="dxa"/>
                  </w:tcMar>
                  <w:vAlign w:val="center"/>
                  <w:hideMark/>
                </w:tcPr>
                <w:p w14:paraId="52292184" w14:textId="77777777" w:rsidR="00A6414A" w:rsidRPr="00A6414A" w:rsidRDefault="00A6414A" w:rsidP="00FE3E91">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FE3E91">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FE3E91">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FE3E91">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FE3E91">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7" w:type="dxa"/>
                  <w:gridSpan w:val="7"/>
                  <w:tcMar>
                    <w:top w:w="0" w:type="dxa"/>
                    <w:left w:w="108" w:type="dxa"/>
                    <w:bottom w:w="0" w:type="dxa"/>
                    <w:right w:w="108" w:type="dxa"/>
                  </w:tcMar>
                  <w:vAlign w:val="center"/>
                </w:tcPr>
                <w:p w14:paraId="2FA7A12D" w14:textId="77777777" w:rsidR="00A6414A" w:rsidRPr="00A6414A" w:rsidRDefault="00A6414A" w:rsidP="00FE3E91">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FE3E91">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FE3E91">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FE3E91">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FE3E91">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D8049C">
              <w:trPr>
                <w:trHeight w:val="453"/>
              </w:trPr>
              <w:tc>
                <w:tcPr>
                  <w:tcW w:w="2956" w:type="dxa"/>
                  <w:gridSpan w:val="4"/>
                  <w:vAlign w:val="center"/>
                  <w:hideMark/>
                </w:tcPr>
                <w:p w14:paraId="2321447A" w14:textId="2CC0C51F" w:rsidR="00A6414A" w:rsidRPr="00A6414A" w:rsidRDefault="00A6414A" w:rsidP="00FE3E91">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FE3E91">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FE3E91">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FE3E91">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FE3E91">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FE3E91">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4" w:type="dxa"/>
                  <w:gridSpan w:val="6"/>
                  <w:vAlign w:val="center"/>
                </w:tcPr>
                <w:p w14:paraId="75BDAC98" w14:textId="77777777" w:rsidR="004F0AE5" w:rsidRPr="004F0AE5" w:rsidRDefault="004F0AE5" w:rsidP="00FE3E91">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FE3E91">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D8049C">
              <w:trPr>
                <w:trHeight w:val="404"/>
              </w:trPr>
              <w:tc>
                <w:tcPr>
                  <w:tcW w:w="2107" w:type="dxa"/>
                  <w:gridSpan w:val="2"/>
                  <w:vAlign w:val="center"/>
                </w:tcPr>
                <w:p w14:paraId="6AC13226" w14:textId="4B604FD4" w:rsidR="00A6414A" w:rsidRPr="00A6414A" w:rsidRDefault="00A6414A" w:rsidP="00FE3E91">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FE3E91">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FE3E91">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FE3E91">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FE3E91">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FE3E91">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FE3E91">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FE3E91">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FE3E91">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FE3E91">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FE3E91">
                  <w:pPr>
                    <w:ind w:left="26" w:right="41"/>
                    <w:contextualSpacing/>
                    <w:jc w:val="center"/>
                    <w:rPr>
                      <w:rFonts w:ascii="David" w:eastAsia="Calibri" w:hAnsi="David" w:cs="David"/>
                      <w:color w:val="002060"/>
                      <w:sz w:val="19"/>
                      <w:szCs w:val="19"/>
                      <w:rtl/>
                    </w:rPr>
                  </w:pPr>
                </w:p>
              </w:tc>
              <w:tc>
                <w:tcPr>
                  <w:tcW w:w="283" w:type="dxa"/>
                  <w:vAlign w:val="center"/>
                </w:tcPr>
                <w:p w14:paraId="483C94A6" w14:textId="77777777" w:rsidR="00A6414A" w:rsidRPr="00A6414A" w:rsidRDefault="00A6414A" w:rsidP="00FE3E91">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C53C9A" w:rsidRDefault="008E0024" w:rsidP="002D608A">
      <w:pPr>
        <w:contextualSpacing/>
        <w:jc w:val="center"/>
        <w:rPr>
          <w:rFonts w:ascii="Arial" w:eastAsia="Calibri" w:hAnsi="Arial" w:cs="Arial"/>
          <w:b/>
          <w:bCs/>
          <w:color w:val="C00000"/>
          <w:sz w:val="6"/>
          <w:szCs w:val="6"/>
          <w:rtl/>
        </w:rPr>
      </w:pPr>
    </w:p>
    <w:p w14:paraId="7F5B34BE" w14:textId="77777777" w:rsidR="00FE3E91" w:rsidRPr="00FE3E91" w:rsidRDefault="00FE3E91" w:rsidP="002D608A">
      <w:pPr>
        <w:contextualSpacing/>
        <w:jc w:val="center"/>
        <w:rPr>
          <w:rFonts w:ascii="Arial" w:eastAsia="Calibri" w:hAnsi="Arial" w:cs="Arial"/>
          <w:b/>
          <w:bCs/>
          <w:color w:val="C00000"/>
          <w:sz w:val="14"/>
          <w:szCs w:val="14"/>
          <w:rtl/>
        </w:rPr>
      </w:pPr>
    </w:p>
    <w:p w14:paraId="2E94EE8C" w14:textId="46B3EB6B"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215BBB9" w:rsidR="009D10EF" w:rsidRDefault="00FA5342" w:rsidP="009D10EF">
      <w:pPr>
        <w:contextualSpacing/>
        <w:jc w:val="center"/>
        <w:rPr>
          <w:rFonts w:ascii="FrankRuehl" w:eastAsia="Calibri" w:hAnsi="FrankRuehl" w:cs="FrankRuehl"/>
          <w:color w:val="0070C0"/>
          <w:sz w:val="16"/>
          <w:szCs w:val="16"/>
          <w:u w:val="single"/>
          <w:rtl/>
        </w:rPr>
      </w:pPr>
      <w:hyperlink r:id="rId13"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5E3AFB" w:rsidRDefault="003A70F2" w:rsidP="005E3AFB">
      <w:pPr>
        <w:contextualSpacing/>
        <w:jc w:val="right"/>
        <w:rPr>
          <w:rFonts w:ascii="David" w:eastAsia="Calibri" w:hAnsi="David" w:cs="David"/>
          <w:b/>
          <w:bCs/>
          <w:color w:val="0070C0"/>
          <w:sz w:val="22"/>
          <w:szCs w:val="22"/>
          <w:rtl/>
        </w:rPr>
      </w:pPr>
      <w:r w:rsidRPr="005E3AFB">
        <w:rPr>
          <w:rFonts w:ascii="David" w:eastAsia="Calibri" w:hAnsi="David" w:cs="David" w:hint="cs"/>
          <w:b/>
          <w:bCs/>
          <w:color w:val="0070C0"/>
          <w:sz w:val="22"/>
          <w:szCs w:val="22"/>
          <w:rtl/>
        </w:rPr>
        <w:t>לע"נ מורנו הרב ארנרייך זצ"ל</w:t>
      </w:r>
      <w:r w:rsidR="00B42B24" w:rsidRPr="005E3AFB">
        <w:rPr>
          <w:rFonts w:ascii="David" w:eastAsia="Calibri" w:hAnsi="David" w:cs="David" w:hint="cs"/>
          <w:b/>
          <w:bCs/>
          <w:color w:val="0070C0"/>
          <w:sz w:val="22"/>
          <w:szCs w:val="22"/>
          <w:rtl/>
        </w:rPr>
        <w:t xml:space="preserve">, </w:t>
      </w:r>
      <w:r w:rsidRPr="005E3AFB">
        <w:rPr>
          <w:rFonts w:ascii="David" w:eastAsia="Calibri" w:hAnsi="David" w:cs="David" w:hint="cs"/>
          <w:b/>
          <w:bCs/>
          <w:color w:val="0070C0"/>
          <w:sz w:val="22"/>
          <w:szCs w:val="22"/>
          <w:rtl/>
        </w:rPr>
        <w:t xml:space="preserve">ממנו למדנו להרגיש את </w:t>
      </w:r>
      <w:proofErr w:type="spellStart"/>
      <w:r w:rsidRPr="005E3AFB">
        <w:rPr>
          <w:rFonts w:ascii="David" w:eastAsia="Calibri" w:hAnsi="David" w:cs="David" w:hint="cs"/>
          <w:b/>
          <w:bCs/>
          <w:color w:val="0070C0"/>
          <w:sz w:val="22"/>
          <w:szCs w:val="22"/>
          <w:rtl/>
        </w:rPr>
        <w:t>הסברא</w:t>
      </w:r>
      <w:proofErr w:type="spellEnd"/>
      <w:r w:rsidRPr="005E3AFB">
        <w:rPr>
          <w:rFonts w:ascii="David" w:eastAsia="Calibri" w:hAnsi="David" w:cs="David" w:hint="cs"/>
          <w:b/>
          <w:bCs/>
          <w:color w:val="0070C0"/>
          <w:sz w:val="22"/>
          <w:szCs w:val="22"/>
          <w:rtl/>
        </w:rPr>
        <w:t xml:space="preserve"> ולהתרגש מהבנת התורה</w:t>
      </w:r>
    </w:p>
    <w:p w14:paraId="09B9664C" w14:textId="77777777" w:rsidR="00612652" w:rsidRPr="000801C9" w:rsidRDefault="00612652" w:rsidP="002D608A">
      <w:pPr>
        <w:contextualSpacing/>
        <w:rPr>
          <w:rFonts w:ascii="David" w:eastAsia="Calibri" w:hAnsi="David" w:cs="David"/>
          <w:sz w:val="8"/>
          <w:szCs w:val="8"/>
          <w:rtl/>
        </w:rPr>
      </w:pPr>
    </w:p>
    <w:p w14:paraId="1A9B7CB2" w14:textId="77777777" w:rsidR="0018470F" w:rsidRPr="0018470F" w:rsidRDefault="0018470F" w:rsidP="0018470F">
      <w:pPr>
        <w:keepNext/>
        <w:keepLines/>
        <w:contextualSpacing/>
        <w:outlineLvl w:val="0"/>
        <w:rPr>
          <w:rFonts w:ascii="David" w:hAnsi="David" w:cs="David"/>
          <w:b/>
          <w:bCs/>
          <w:color w:val="0070C0"/>
          <w:sz w:val="32"/>
          <w:szCs w:val="32"/>
          <w:rtl/>
        </w:rPr>
      </w:pPr>
      <w:bookmarkStart w:id="3" w:name="_Hlk208479582"/>
      <w:r w:rsidRPr="0018470F">
        <w:rPr>
          <w:rFonts w:ascii="David" w:hAnsi="David" w:cs="David" w:hint="cs"/>
          <w:b/>
          <w:bCs/>
          <w:color w:val="0070C0"/>
          <w:sz w:val="32"/>
          <w:szCs w:val="32"/>
          <w:rtl/>
        </w:rPr>
        <w:t>בר מצווה לבני נח</w:t>
      </w:r>
    </w:p>
    <w:p w14:paraId="5A0B7DAC" w14:textId="77777777" w:rsidR="0018470F" w:rsidRPr="0018470F" w:rsidRDefault="0018470F" w:rsidP="0018470F">
      <w:pPr>
        <w:contextualSpacing/>
        <w:rPr>
          <w:rFonts w:ascii="David" w:eastAsia="Calibri" w:hAnsi="David" w:cs="David"/>
          <w:rtl/>
        </w:rPr>
      </w:pPr>
    </w:p>
    <w:p w14:paraId="05E1147E"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בפרשיות אלו אנו עוסקים במצוות בני נח. לכבודם ננסה לעמוד על השאלה אם גם לנכרים יש גיל מצוות.</w:t>
      </w:r>
    </w:p>
    <w:p w14:paraId="26DBD38E" w14:textId="77777777" w:rsidR="0018470F" w:rsidRPr="0018470F" w:rsidRDefault="0018470F" w:rsidP="0018470F">
      <w:pPr>
        <w:contextualSpacing/>
        <w:rPr>
          <w:rFonts w:ascii="David" w:eastAsia="Calibri" w:hAnsi="David" w:cs="David"/>
          <w:rtl/>
        </w:rPr>
      </w:pPr>
    </w:p>
    <w:p w14:paraId="5A4FC7C0"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הרמב"ם (הלכות מלכים פרק י הלכה ב) פוסק שאין עונשים חרש שוטה או קטן </w:t>
      </w:r>
      <w:proofErr w:type="spellStart"/>
      <w:r w:rsidRPr="0018470F">
        <w:rPr>
          <w:rFonts w:ascii="David" w:eastAsia="Calibri" w:hAnsi="David" w:cs="David" w:hint="cs"/>
          <w:rtl/>
        </w:rPr>
        <w:t>נכרי</w:t>
      </w:r>
      <w:proofErr w:type="spellEnd"/>
      <w:r w:rsidRPr="0018470F">
        <w:rPr>
          <w:rFonts w:ascii="David" w:eastAsia="Calibri" w:hAnsi="David" w:cs="David" w:hint="cs"/>
          <w:rtl/>
        </w:rPr>
        <w:t>.</w:t>
      </w:r>
    </w:p>
    <w:p w14:paraId="41AEF06F"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עולה כאן מחשבה מעניינת שאיננו בהכרח ערים לה: יש מושג של 'קטן' </w:t>
      </w:r>
      <w:proofErr w:type="spellStart"/>
      <w:r w:rsidRPr="0018470F">
        <w:rPr>
          <w:rFonts w:ascii="David" w:eastAsia="Calibri" w:hAnsi="David" w:cs="David" w:hint="cs"/>
          <w:rtl/>
        </w:rPr>
        <w:t>נכרי</w:t>
      </w:r>
      <w:proofErr w:type="spellEnd"/>
      <w:r w:rsidRPr="0018470F">
        <w:rPr>
          <w:rFonts w:ascii="David" w:eastAsia="Calibri" w:hAnsi="David" w:cs="David" w:hint="cs"/>
          <w:rtl/>
        </w:rPr>
        <w:t>.</w:t>
      </w:r>
    </w:p>
    <w:p w14:paraId="6F4AAA70"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לכאורה מושג זה אינו אמור להפתיע אותנו: הנכרים מצווים בשבע מצוות בני נח. על פניו קשה לצפות מתינוק בן יומו לקיים את המצוות, להאמין בקב"ה ולהקים מערכת משפטית ועוד. עולה השאלה באיזה גיל הקב"ה מצפה מבני נח לשמור מצוות.</w:t>
      </w:r>
    </w:p>
    <w:p w14:paraId="1E797BE8"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נשים לב שהרמב"ם אינו עונה ישירות על שאלה זו: הוא קובע שבן נח 'קטן' אינו נענש. אך אינו מפורש באיזה גיל הוא יוצא מכלל 'קטן' ונעשה גדול.</w:t>
      </w:r>
    </w:p>
    <w:p w14:paraId="35933871"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ברירת המחדל שאנו מכירים היא "בן שלוש עשרה למצוות". אך </w:t>
      </w:r>
      <w:proofErr w:type="spellStart"/>
      <w:r w:rsidRPr="0018470F">
        <w:rPr>
          <w:rFonts w:ascii="David" w:eastAsia="Calibri" w:hAnsi="David" w:cs="David" w:hint="cs"/>
          <w:rtl/>
        </w:rPr>
        <w:t>הרא"ש</w:t>
      </w:r>
      <w:proofErr w:type="spellEnd"/>
      <w:r w:rsidRPr="0018470F">
        <w:rPr>
          <w:rFonts w:ascii="David" w:eastAsia="Calibri" w:hAnsi="David" w:cs="David" w:hint="cs"/>
          <w:rtl/>
        </w:rPr>
        <w:t xml:space="preserve"> (בתשובה כלל </w:t>
      </w:r>
      <w:proofErr w:type="spellStart"/>
      <w:r w:rsidRPr="0018470F">
        <w:rPr>
          <w:rFonts w:ascii="David" w:eastAsia="Calibri" w:hAnsi="David" w:cs="David" w:hint="cs"/>
          <w:rtl/>
        </w:rPr>
        <w:t>טז</w:t>
      </w:r>
      <w:proofErr w:type="spellEnd"/>
      <w:r w:rsidRPr="0018470F">
        <w:rPr>
          <w:rFonts w:ascii="David" w:eastAsia="Calibri" w:hAnsi="David" w:cs="David" w:hint="cs"/>
          <w:rtl/>
        </w:rPr>
        <w:t xml:space="preserve"> אות א) כותב שגיל שלוש עשרה למצוות ניתן כהלכה למשה מסיני, בדומה לשאר שיעורי תורה (כזית, כביצה ודומיהם). הרמב"ם (הלכות מלכים פרק ט הלכה י) פוסק ששיעורי תורה, שניתנו כהלכה למשה מסיני חלים על ישראל בלבד. זה מעלה שאלה אם ביחס לבני נח גם ההלכה למשה מסיני של 'בן שלוש עשרה למצוות' חל על ישראל בלבד.</w:t>
      </w:r>
    </w:p>
    <w:p w14:paraId="6BE913A0" w14:textId="77777777" w:rsidR="0018470F" w:rsidRPr="0018470F" w:rsidRDefault="0018470F" w:rsidP="0018470F">
      <w:pPr>
        <w:contextualSpacing/>
        <w:rPr>
          <w:rFonts w:ascii="David" w:eastAsia="Calibri" w:hAnsi="David" w:cs="David"/>
          <w:rtl/>
        </w:rPr>
      </w:pPr>
    </w:p>
    <w:p w14:paraId="67A2D363"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במסכת נזיר (דף סב ע"א) מביאים את דרשות חז"ל המורות על כך שגם נכרים יכולים לנדור ולנדוב כישראל. הגמרא מביאה דרשה "איש כי יפליא נדר" </w:t>
      </w:r>
      <w:r w:rsidRPr="0018470F">
        <w:rPr>
          <w:rFonts w:ascii="David" w:eastAsia="Calibri" w:hAnsi="David" w:cs="David"/>
          <w:rtl/>
        </w:rPr>
        <w:t>–</w:t>
      </w:r>
      <w:r w:rsidRPr="0018470F">
        <w:rPr>
          <w:rFonts w:ascii="David" w:eastAsia="Calibri" w:hAnsi="David" w:cs="David" w:hint="cs"/>
          <w:rtl/>
        </w:rPr>
        <w:t xml:space="preserve"> לרבות את ה'מופלא הסמוך לאיש'. כלומר </w:t>
      </w:r>
      <w:r w:rsidRPr="0018470F">
        <w:rPr>
          <w:rFonts w:ascii="David" w:eastAsia="Calibri" w:hAnsi="David" w:cs="David"/>
          <w:rtl/>
        </w:rPr>
        <w:t>–</w:t>
      </w:r>
      <w:r w:rsidRPr="0018470F">
        <w:rPr>
          <w:rFonts w:ascii="David" w:eastAsia="Calibri" w:hAnsi="David" w:cs="David" w:hint="cs"/>
          <w:rtl/>
        </w:rPr>
        <w:t xml:space="preserve"> לאפשר גם למי שטרם מלאו לו י"ג שנה לנדור, בתנאי שהוא מבין את משמעות נדרו. הגמרא מעירה שלפי חלק מהתנאים אין תוקף לשבועת קטן מן התורה (גם אם הוא מופלא סמוך לאיש). הגמרא אומרת שלפי שיטתם, דין זה יחול רק על 'מופלא סמוך לאיש' </w:t>
      </w:r>
      <w:proofErr w:type="spellStart"/>
      <w:r w:rsidRPr="0018470F">
        <w:rPr>
          <w:rFonts w:ascii="David" w:eastAsia="Calibri" w:hAnsi="David" w:cs="David" w:hint="cs"/>
          <w:rtl/>
        </w:rPr>
        <w:t>נכרי</w:t>
      </w:r>
      <w:proofErr w:type="spellEnd"/>
      <w:r w:rsidRPr="0018470F">
        <w:rPr>
          <w:rFonts w:ascii="David" w:eastAsia="Calibri" w:hAnsi="David" w:cs="David" w:hint="cs"/>
          <w:rtl/>
        </w:rPr>
        <w:t>.</w:t>
      </w:r>
    </w:p>
    <w:p w14:paraId="6C947D51"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ראה זה פלא: עולה שיש מחלוקת תנאים אם ישראל שטרם מלאו לא י"ג שנים יכול לנדור. אך אין חולק </w:t>
      </w:r>
      <w:proofErr w:type="spellStart"/>
      <w:r w:rsidRPr="0018470F">
        <w:rPr>
          <w:rFonts w:ascii="David" w:eastAsia="Calibri" w:hAnsi="David" w:cs="David" w:hint="cs"/>
          <w:rtl/>
        </w:rPr>
        <w:t>שנכרי</w:t>
      </w:r>
      <w:proofErr w:type="spellEnd"/>
      <w:r w:rsidRPr="0018470F">
        <w:rPr>
          <w:rFonts w:ascii="David" w:eastAsia="Calibri" w:hAnsi="David" w:cs="David" w:hint="cs"/>
          <w:rtl/>
        </w:rPr>
        <w:t xml:space="preserve"> שטרם הגיע לגיל י"ג יכול לנדור!</w:t>
      </w:r>
    </w:p>
    <w:p w14:paraId="17986C09" w14:textId="77777777" w:rsidR="0018470F" w:rsidRPr="0018470F" w:rsidRDefault="0018470F" w:rsidP="0018470F">
      <w:pPr>
        <w:contextualSpacing/>
        <w:rPr>
          <w:rFonts w:ascii="David" w:eastAsia="Calibri" w:hAnsi="David" w:cs="David"/>
        </w:rPr>
      </w:pPr>
      <w:r w:rsidRPr="0018470F">
        <w:rPr>
          <w:rFonts w:ascii="David" w:eastAsia="Calibri" w:hAnsi="David" w:cs="David" w:hint="cs"/>
          <w:rtl/>
        </w:rPr>
        <w:t xml:space="preserve">בהמשך </w:t>
      </w:r>
      <w:proofErr w:type="spellStart"/>
      <w:r w:rsidRPr="0018470F">
        <w:rPr>
          <w:rFonts w:ascii="David" w:eastAsia="Calibri" w:hAnsi="David" w:cs="David" w:hint="cs"/>
          <w:rtl/>
        </w:rPr>
        <w:t>הסוגיה</w:t>
      </w:r>
      <w:proofErr w:type="spellEnd"/>
      <w:r w:rsidRPr="0018470F">
        <w:rPr>
          <w:rFonts w:ascii="David" w:eastAsia="Calibri" w:hAnsi="David" w:cs="David" w:hint="cs"/>
          <w:rtl/>
        </w:rPr>
        <w:t xml:space="preserve"> מוצג הצד השני של אותו המטבע </w:t>
      </w:r>
      <w:r w:rsidRPr="0018470F">
        <w:rPr>
          <w:rFonts w:ascii="David" w:eastAsia="Calibri" w:hAnsi="David" w:cs="David"/>
          <w:rtl/>
        </w:rPr>
        <w:t>–</w:t>
      </w:r>
      <w:r w:rsidRPr="0018470F">
        <w:rPr>
          <w:rFonts w:ascii="David" w:eastAsia="Calibri" w:hAnsi="David" w:cs="David" w:hint="cs"/>
          <w:rtl/>
        </w:rPr>
        <w:t xml:space="preserve"> לומדים מהפסוק </w:t>
      </w:r>
      <w:proofErr w:type="spellStart"/>
      <w:r w:rsidRPr="0018470F">
        <w:rPr>
          <w:rFonts w:ascii="David" w:eastAsia="Calibri" w:hAnsi="David" w:cs="David" w:hint="cs"/>
          <w:rtl/>
        </w:rPr>
        <w:t>שנכרי</w:t>
      </w:r>
      <w:proofErr w:type="spellEnd"/>
      <w:r w:rsidRPr="0018470F">
        <w:rPr>
          <w:rFonts w:ascii="David" w:eastAsia="Calibri" w:hAnsi="David" w:cs="David" w:hint="cs"/>
          <w:rtl/>
        </w:rPr>
        <w:t xml:space="preserve"> גדול שאינו מבין את מהות הנדר, נדרו אינו נדר.</w:t>
      </w:r>
    </w:p>
    <w:p w14:paraId="4D75666B" w14:textId="77777777" w:rsidR="0018470F" w:rsidRPr="0018470F" w:rsidRDefault="0018470F" w:rsidP="0018470F">
      <w:pPr>
        <w:contextualSpacing/>
        <w:rPr>
          <w:rFonts w:ascii="David" w:eastAsia="Calibri" w:hAnsi="David" w:cs="David"/>
          <w:rtl/>
        </w:rPr>
      </w:pPr>
    </w:p>
    <w:p w14:paraId="2BE6E5D9"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אם כך, לפי שיטות התנאים הללו יש שני הבדלים בין נדריו של ישראל ושל </w:t>
      </w:r>
      <w:proofErr w:type="spellStart"/>
      <w:r w:rsidRPr="0018470F">
        <w:rPr>
          <w:rFonts w:ascii="David" w:eastAsia="Calibri" w:hAnsi="David" w:cs="David" w:hint="cs"/>
          <w:rtl/>
        </w:rPr>
        <w:t>נכרי</w:t>
      </w:r>
      <w:proofErr w:type="spellEnd"/>
      <w:r w:rsidRPr="0018470F">
        <w:rPr>
          <w:rFonts w:ascii="David" w:eastAsia="Calibri" w:hAnsi="David" w:cs="David" w:hint="cs"/>
          <w:rtl/>
        </w:rPr>
        <w:t>:</w:t>
      </w:r>
    </w:p>
    <w:p w14:paraId="540C7A8A" w14:textId="77777777" w:rsidR="0018470F" w:rsidRPr="0018470F" w:rsidRDefault="0018470F" w:rsidP="0018470F">
      <w:pPr>
        <w:numPr>
          <w:ilvl w:val="0"/>
          <w:numId w:val="4"/>
        </w:numPr>
        <w:contextualSpacing/>
        <w:jc w:val="both"/>
        <w:rPr>
          <w:rFonts w:ascii="David" w:eastAsia="Calibri" w:hAnsi="David" w:cs="David"/>
        </w:rPr>
      </w:pP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קטן המבין את נדריו </w:t>
      </w:r>
      <w:r w:rsidRPr="0018470F">
        <w:rPr>
          <w:rFonts w:ascii="David" w:eastAsia="Calibri" w:hAnsi="David" w:cs="David"/>
          <w:rtl/>
        </w:rPr>
        <w:t>–</w:t>
      </w:r>
      <w:r w:rsidRPr="0018470F">
        <w:rPr>
          <w:rFonts w:ascii="David" w:eastAsia="Calibri" w:hAnsi="David" w:cs="David" w:hint="cs"/>
          <w:rtl/>
        </w:rPr>
        <w:t xml:space="preserve"> נדריו תקפים.</w:t>
      </w:r>
    </w:p>
    <w:p w14:paraId="7DC5EF9F" w14:textId="77777777" w:rsidR="0018470F" w:rsidRPr="0018470F" w:rsidRDefault="0018470F" w:rsidP="0018470F">
      <w:pPr>
        <w:numPr>
          <w:ilvl w:val="0"/>
          <w:numId w:val="4"/>
        </w:numPr>
        <w:contextualSpacing/>
        <w:jc w:val="both"/>
        <w:rPr>
          <w:rFonts w:ascii="David" w:eastAsia="Calibri" w:hAnsi="David" w:cs="David"/>
          <w:rtl/>
        </w:rPr>
      </w:pP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גדול שאינו מבין את נדריו </w:t>
      </w:r>
      <w:r w:rsidRPr="0018470F">
        <w:rPr>
          <w:rFonts w:ascii="David" w:eastAsia="Calibri" w:hAnsi="David" w:cs="David"/>
          <w:rtl/>
        </w:rPr>
        <w:t>–</w:t>
      </w:r>
      <w:r w:rsidRPr="0018470F">
        <w:rPr>
          <w:rFonts w:ascii="David" w:eastAsia="Calibri" w:hAnsi="David" w:cs="David" w:hint="cs"/>
          <w:rtl/>
        </w:rPr>
        <w:t xml:space="preserve"> אין נדריו תקפים.</w:t>
      </w:r>
    </w:p>
    <w:p w14:paraId="2D86B1C1" w14:textId="77777777" w:rsidR="0018470F" w:rsidRPr="0018470F" w:rsidRDefault="0018470F" w:rsidP="0018470F">
      <w:pPr>
        <w:contextualSpacing/>
        <w:rPr>
          <w:rFonts w:ascii="David" w:eastAsia="Calibri" w:hAnsi="David" w:cs="David"/>
          <w:rtl/>
        </w:rPr>
      </w:pPr>
    </w:p>
    <w:p w14:paraId="235E10DB"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הראשונים מציגים תימוכין לכך שיתכן שדינו של קטן </w:t>
      </w: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יהיה חמור יותר מדינו של קטן ישראל. אך </w:t>
      </w:r>
      <w:proofErr w:type="spellStart"/>
      <w:r w:rsidRPr="0018470F">
        <w:rPr>
          <w:rFonts w:ascii="David" w:eastAsia="Calibri" w:hAnsi="David" w:cs="David" w:hint="cs"/>
          <w:rtl/>
        </w:rPr>
        <w:t>הרא"ש</w:t>
      </w:r>
      <w:proofErr w:type="spellEnd"/>
      <w:r w:rsidRPr="0018470F">
        <w:rPr>
          <w:rFonts w:ascii="David" w:eastAsia="Calibri" w:hAnsi="David" w:cs="David" w:hint="cs"/>
          <w:rtl/>
        </w:rPr>
        <w:t xml:space="preserve"> אומר אמירה מעניינת. הוא תולה את הדברים בעתיד: ישראל עתיד להתחייב במצוות ואיסור "לא יחל דברו" יחול עליו. </w:t>
      </w:r>
      <w:proofErr w:type="spellStart"/>
      <w:r w:rsidRPr="0018470F">
        <w:rPr>
          <w:rFonts w:ascii="David" w:eastAsia="Calibri" w:hAnsi="David" w:cs="David" w:hint="cs"/>
          <w:rtl/>
        </w:rPr>
        <w:t>הנכרי</w:t>
      </w:r>
      <w:proofErr w:type="spellEnd"/>
      <w:r w:rsidRPr="0018470F">
        <w:rPr>
          <w:rFonts w:ascii="David" w:eastAsia="Calibri" w:hAnsi="David" w:cs="David" w:hint="cs"/>
          <w:rtl/>
        </w:rPr>
        <w:t xml:space="preserve"> לעולם לא יגיע למידה זו, ועל כן אין טעם להמתין.</w:t>
      </w:r>
    </w:p>
    <w:p w14:paraId="6AB96FEE"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ולכאורה יש לשאול </w:t>
      </w:r>
      <w:r w:rsidRPr="0018470F">
        <w:rPr>
          <w:rFonts w:ascii="David" w:eastAsia="Calibri" w:hAnsi="David" w:cs="David"/>
          <w:rtl/>
        </w:rPr>
        <w:t>–</w:t>
      </w:r>
      <w:r w:rsidRPr="0018470F">
        <w:rPr>
          <w:rFonts w:ascii="David" w:eastAsia="Calibri" w:hAnsi="David" w:cs="David" w:hint="cs"/>
          <w:rtl/>
        </w:rPr>
        <w:t xml:space="preserve"> מדוע זה משנה? מדוע זה </w:t>
      </w:r>
      <w:proofErr w:type="spellStart"/>
      <w:r w:rsidRPr="0018470F">
        <w:rPr>
          <w:rFonts w:ascii="David" w:eastAsia="Calibri" w:hAnsi="David" w:cs="David" w:hint="cs"/>
          <w:rtl/>
        </w:rPr>
        <w:t>שהנכרי</w:t>
      </w:r>
      <w:proofErr w:type="spellEnd"/>
      <w:r w:rsidRPr="0018470F">
        <w:rPr>
          <w:rFonts w:ascii="David" w:eastAsia="Calibri" w:hAnsi="David" w:cs="David" w:hint="cs"/>
          <w:rtl/>
        </w:rPr>
        <w:t xml:space="preserve"> אינו עתיד להגיע לכלל 'בל יחל' מחייב אותו לקיים את נדריו מוקדם יותר?</w:t>
      </w:r>
    </w:p>
    <w:p w14:paraId="6707FD83" w14:textId="77777777" w:rsidR="0018470F" w:rsidRPr="0018470F" w:rsidRDefault="0018470F" w:rsidP="0018470F">
      <w:pPr>
        <w:contextualSpacing/>
        <w:rPr>
          <w:rFonts w:ascii="David" w:eastAsia="Calibri" w:hAnsi="David" w:cs="David"/>
          <w:rtl/>
        </w:rPr>
      </w:pPr>
    </w:p>
    <w:p w14:paraId="389574B0"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קרן אורה (על אתר)</w:t>
      </w:r>
      <w:r w:rsidRPr="0018470F">
        <w:rPr>
          <w:rFonts w:ascii="David" w:eastAsia="Calibri" w:hAnsi="David" w:cs="David" w:hint="cs"/>
        </w:rPr>
        <w:t xml:space="preserve"> </w:t>
      </w:r>
      <w:r w:rsidRPr="0018470F">
        <w:rPr>
          <w:rFonts w:ascii="David" w:eastAsia="Calibri" w:hAnsi="David" w:cs="David" w:hint="cs"/>
          <w:rtl/>
        </w:rPr>
        <w:t>מציע שבעצם אין לבן נח גיל חיוב מוגדר. הוא מציע את המהלך הבא: בן נח מתחייב גם ללא התראה. אם התראה נועדה לוודא שהמותרה מודע לכך שהוא עובר על עבירה, הרי שהמשמעות היא שבן נח מתחייב גם ללא מודעות לכך שהוא עובר על איסור. ישראל קטן פטור ממצוות מכיוון שאין לו מודעות מספקת לקיום מצוות. אך בן נח מתחייב גם ללא מודעות, ולכן הוא מתחייב עוד לפני גיל המצוות (ברם, ביחס לנדרים יש צורך שיבין את מעשיו, אחרת אין תוקף לנדר).</w:t>
      </w:r>
    </w:p>
    <w:p w14:paraId="58AA6591"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אך הוא מציין שלכאורה מסקנה זו סותרת את דברי הרמב"ם, הפוסק </w:t>
      </w:r>
      <w:proofErr w:type="spellStart"/>
      <w:r w:rsidRPr="0018470F">
        <w:rPr>
          <w:rFonts w:ascii="David" w:eastAsia="Calibri" w:hAnsi="David" w:cs="David" w:hint="cs"/>
          <w:rtl/>
        </w:rPr>
        <w:t>שנכרי</w:t>
      </w:r>
      <w:proofErr w:type="spellEnd"/>
      <w:r w:rsidRPr="0018470F">
        <w:rPr>
          <w:rFonts w:ascii="David" w:eastAsia="Calibri" w:hAnsi="David" w:cs="David" w:hint="cs"/>
          <w:rtl/>
        </w:rPr>
        <w:t xml:space="preserve"> קטן פטור. על כן הוא אומר שיש להבחין בין קטן ישראל וקטן </w:t>
      </w: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ביחס לישראל התמעט קטן מגיל י"ג, ואילו ביחס </w:t>
      </w:r>
      <w:proofErr w:type="spellStart"/>
      <w:r w:rsidRPr="0018470F">
        <w:rPr>
          <w:rFonts w:ascii="David" w:eastAsia="Calibri" w:hAnsi="David" w:cs="David" w:hint="cs"/>
          <w:rtl/>
        </w:rPr>
        <w:t>לנכרי</w:t>
      </w:r>
      <w:proofErr w:type="spellEnd"/>
      <w:r w:rsidRPr="0018470F">
        <w:rPr>
          <w:rFonts w:ascii="David" w:eastAsia="Calibri" w:hAnsi="David" w:cs="David" w:hint="cs"/>
          <w:rtl/>
        </w:rPr>
        <w:t xml:space="preserve"> התמעט קטן שאינו בר דעת.</w:t>
      </w:r>
    </w:p>
    <w:p w14:paraId="1C075F84" w14:textId="77777777" w:rsidR="0018470F" w:rsidRPr="0018470F" w:rsidRDefault="0018470F" w:rsidP="0018470F">
      <w:pPr>
        <w:contextualSpacing/>
        <w:rPr>
          <w:rFonts w:ascii="David" w:eastAsia="Calibri" w:hAnsi="David" w:cs="David"/>
          <w:rtl/>
        </w:rPr>
      </w:pPr>
    </w:p>
    <w:p w14:paraId="61E81DBF" w14:textId="77777777" w:rsidR="0018470F" w:rsidRPr="0018470F" w:rsidRDefault="0018470F" w:rsidP="0018470F">
      <w:pPr>
        <w:contextualSpacing/>
        <w:rPr>
          <w:rFonts w:ascii="David" w:eastAsia="Calibri" w:hAnsi="David" w:cs="David"/>
          <w:rtl/>
        </w:rPr>
      </w:pPr>
      <w:proofErr w:type="spellStart"/>
      <w:r w:rsidRPr="0018470F">
        <w:rPr>
          <w:rFonts w:ascii="David" w:eastAsia="Calibri" w:hAnsi="David" w:cs="David" w:hint="cs"/>
          <w:rtl/>
        </w:rPr>
        <w:t>הנצי"ב</w:t>
      </w:r>
      <w:proofErr w:type="spellEnd"/>
      <w:r w:rsidRPr="0018470F">
        <w:rPr>
          <w:rFonts w:ascii="David" w:eastAsia="Calibri" w:hAnsi="David" w:cs="David" w:hint="cs"/>
          <w:rtl/>
        </w:rPr>
        <w:t xml:space="preserve"> (בפירושו מרומי שדה על אתר) האור שמח (איסורי ביאה פרק ג הלכה ב) והמנחת חינוך (מצווה </w:t>
      </w:r>
      <w:proofErr w:type="spellStart"/>
      <w:r w:rsidRPr="0018470F">
        <w:rPr>
          <w:rFonts w:ascii="David" w:eastAsia="Calibri" w:hAnsi="David" w:cs="David" w:hint="cs"/>
          <w:rtl/>
        </w:rPr>
        <w:t>קצ</w:t>
      </w:r>
      <w:proofErr w:type="spellEnd"/>
      <w:r w:rsidRPr="0018470F">
        <w:rPr>
          <w:rFonts w:ascii="David" w:eastAsia="Calibri" w:hAnsi="David" w:cs="David" w:hint="cs"/>
          <w:rtl/>
        </w:rPr>
        <w:t xml:space="preserve"> אות ה) מקבלים את מסקנת דבריו, אך ללא הדיון הראשוני. הם אומרים שביחס לבן נח אין את ההלכה למשה מסיני הדוחה את חיוב המצוות עד לגיל שלוש עשרה. בהעדר הלכה למשה מסיני, נותרנו עם ההגדרה האנושית </w:t>
      </w:r>
      <w:r w:rsidRPr="0018470F">
        <w:rPr>
          <w:rFonts w:ascii="David" w:eastAsia="Calibri" w:hAnsi="David" w:cs="David"/>
          <w:rtl/>
        </w:rPr>
        <w:t>–</w:t>
      </w:r>
      <w:r w:rsidRPr="0018470F">
        <w:rPr>
          <w:rFonts w:ascii="David" w:eastAsia="Calibri" w:hAnsi="David" w:cs="David" w:hint="cs"/>
          <w:rtl/>
        </w:rPr>
        <w:t xml:space="preserve"> אדם נחשב בר דעת כאשר הוא מבין את משמעות מעשיו.</w:t>
      </w:r>
    </w:p>
    <w:p w14:paraId="20CA1D94"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נשים לב שזה מבאר גם את החלק השני של </w:t>
      </w:r>
      <w:proofErr w:type="spellStart"/>
      <w:r w:rsidRPr="0018470F">
        <w:rPr>
          <w:rFonts w:ascii="David" w:eastAsia="Calibri" w:hAnsi="David" w:cs="David" w:hint="cs"/>
          <w:rtl/>
        </w:rPr>
        <w:t>הסוגיה</w:t>
      </w:r>
      <w:proofErr w:type="spellEnd"/>
      <w:r w:rsidRPr="0018470F">
        <w:rPr>
          <w:rFonts w:ascii="David" w:eastAsia="Calibri" w:hAnsi="David" w:cs="David" w:hint="cs"/>
          <w:rtl/>
        </w:rPr>
        <w:t xml:space="preserve">: נדרו של </w:t>
      </w: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הקטן מגיל שלוש עשרה חל אם הוא מבין את נדרו; ונדרו של </w:t>
      </w:r>
      <w:proofErr w:type="spellStart"/>
      <w:r w:rsidRPr="0018470F">
        <w:rPr>
          <w:rFonts w:ascii="David" w:eastAsia="Calibri" w:hAnsi="David" w:cs="David" w:hint="cs"/>
          <w:rtl/>
        </w:rPr>
        <w:t>נכרי</w:t>
      </w:r>
      <w:proofErr w:type="spellEnd"/>
      <w:r w:rsidRPr="0018470F">
        <w:rPr>
          <w:rFonts w:ascii="David" w:eastAsia="Calibri" w:hAnsi="David" w:cs="David" w:hint="cs"/>
          <w:rtl/>
        </w:rPr>
        <w:t xml:space="preserve"> הגדול מגיל שלוש עשרה </w:t>
      </w:r>
      <w:r w:rsidRPr="0018470F">
        <w:rPr>
          <w:rFonts w:ascii="David" w:eastAsia="Calibri" w:hAnsi="David" w:cs="David" w:hint="cs"/>
          <w:b/>
          <w:bCs/>
          <w:rtl/>
        </w:rPr>
        <w:t>אינו</w:t>
      </w:r>
      <w:r w:rsidRPr="0018470F">
        <w:rPr>
          <w:rFonts w:ascii="David" w:eastAsia="Calibri" w:hAnsi="David" w:cs="David" w:hint="cs"/>
          <w:rtl/>
        </w:rPr>
        <w:t xml:space="preserve"> חל אם הוא </w:t>
      </w:r>
      <w:r w:rsidRPr="0018470F">
        <w:rPr>
          <w:rFonts w:ascii="David" w:eastAsia="Calibri" w:hAnsi="David" w:cs="David" w:hint="cs"/>
          <w:b/>
          <w:bCs/>
          <w:rtl/>
        </w:rPr>
        <w:t>אינו</w:t>
      </w:r>
      <w:r w:rsidRPr="0018470F">
        <w:rPr>
          <w:rFonts w:ascii="David" w:eastAsia="Calibri" w:hAnsi="David" w:cs="David" w:hint="cs"/>
          <w:rtl/>
        </w:rPr>
        <w:t xml:space="preserve"> מבין את נדרו. ביחס </w:t>
      </w:r>
      <w:proofErr w:type="spellStart"/>
      <w:r w:rsidRPr="0018470F">
        <w:rPr>
          <w:rFonts w:ascii="David" w:eastAsia="Calibri" w:hAnsi="David" w:cs="David" w:hint="cs"/>
          <w:rtl/>
        </w:rPr>
        <w:t>לנכרי</w:t>
      </w:r>
      <w:proofErr w:type="spellEnd"/>
      <w:r w:rsidRPr="0018470F">
        <w:rPr>
          <w:rFonts w:ascii="David" w:eastAsia="Calibri" w:hAnsi="David" w:cs="David" w:hint="cs"/>
          <w:rtl/>
        </w:rPr>
        <w:t xml:space="preserve"> מעניין אותנו דבר אחד בלבד </w:t>
      </w:r>
      <w:r w:rsidRPr="0018470F">
        <w:rPr>
          <w:rFonts w:ascii="David" w:eastAsia="Calibri" w:hAnsi="David" w:cs="David"/>
          <w:rtl/>
        </w:rPr>
        <w:t>–</w:t>
      </w:r>
      <w:r w:rsidRPr="0018470F">
        <w:rPr>
          <w:rFonts w:ascii="David" w:eastAsia="Calibri" w:hAnsi="David" w:cs="David" w:hint="cs"/>
          <w:rtl/>
        </w:rPr>
        <w:t xml:space="preserve"> האם הוא מבין את נדרו.</w:t>
      </w:r>
    </w:p>
    <w:p w14:paraId="04DD6D8B" w14:textId="77777777" w:rsidR="0018470F" w:rsidRPr="0018470F" w:rsidRDefault="0018470F" w:rsidP="0018470F">
      <w:pPr>
        <w:contextualSpacing/>
        <w:rPr>
          <w:rFonts w:ascii="David" w:eastAsia="Calibri" w:hAnsi="David" w:cs="David"/>
          <w:rtl/>
        </w:rPr>
      </w:pPr>
    </w:p>
    <w:p w14:paraId="3DC01881"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דברים אלו עושים לנו סדר בסוגיה, אך הבחנה זו עדיין דורשת ביאור: מדוע שתהיה הבחנה שכזאת בין ישראל ובני נח?</w:t>
      </w:r>
    </w:p>
    <w:p w14:paraId="0D78F0BF" w14:textId="77777777" w:rsidR="0018470F" w:rsidRPr="0018470F" w:rsidRDefault="0018470F" w:rsidP="0018470F">
      <w:pPr>
        <w:contextualSpacing/>
        <w:rPr>
          <w:rFonts w:ascii="David" w:eastAsia="Calibri" w:hAnsi="David" w:cs="David"/>
          <w:rtl/>
        </w:rPr>
      </w:pPr>
    </w:p>
    <w:p w14:paraId="73B887BB"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בכדי לענות על שאלה זו, לכאורה יש מקום להעלות תמיהה הפוכה:</w:t>
      </w:r>
    </w:p>
    <w:p w14:paraId="093C018E"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אנו בעצם אומרים שיתכן שנער הקטן מגיל שלוש עשרה הוא בר דעת דיו בכדי להבין את נדרו, ועל פניו הוא עשוי להיות בר דעת דיו בכדי לקיים את שאר המצוות. באה ההלכה למשה מסיני וקבעה שאף על פי כן, הוא אינו מצווה לקיים את המצוות.</w:t>
      </w:r>
    </w:p>
    <w:p w14:paraId="5E14585C"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אם מעשית הוא בר דעת, מדוע הוא פטור מן המצוות?</w:t>
      </w:r>
    </w:p>
    <w:p w14:paraId="4D8EAEF7" w14:textId="77777777" w:rsidR="0018470F" w:rsidRPr="0018470F" w:rsidRDefault="0018470F" w:rsidP="0018470F">
      <w:pPr>
        <w:contextualSpacing/>
        <w:rPr>
          <w:rFonts w:ascii="David" w:eastAsia="Calibri" w:hAnsi="David" w:cs="David"/>
          <w:rtl/>
        </w:rPr>
      </w:pPr>
    </w:p>
    <w:p w14:paraId="75DB28FF"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לכאורה יש לבאר את הדברים כך:</w:t>
      </w:r>
    </w:p>
    <w:p w14:paraId="73C0B4B9"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הקב"ה בחר בעם ישראל בכדי לקיים את רצונו. בכדי לקיים את רצונו כראוי, עלינו לעמוד במאבק בין יצר הטוב ויצר הרע, ולבחור בטוב. המאבק הזה מקבל משמעות כאשר אדם מגיע לגיל מצוות. קודם לכן אין מאבק משמעותי בין יצר הטוב ויצר הרע.</w:t>
      </w:r>
    </w:p>
    <w:p w14:paraId="42E2013D"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לעומת זאת, מבואר במספר מקומות שמטרת מצוות בני נח היא לקיים את העולם. מצוות בני נח תובעות מוסר בסיסי המאפשר לנהל חברה תקינה. ביחס אליהם, לא מדובר ברצון אלוקי נשגב, אלא ברצון פשוט </w:t>
      </w:r>
      <w:r w:rsidRPr="0018470F">
        <w:rPr>
          <w:rFonts w:ascii="David" w:eastAsia="Calibri" w:hAnsi="David" w:cs="David"/>
          <w:rtl/>
        </w:rPr>
        <w:t>–</w:t>
      </w:r>
      <w:r w:rsidRPr="0018470F">
        <w:rPr>
          <w:rFonts w:ascii="David" w:eastAsia="Calibri" w:hAnsi="David" w:cs="David" w:hint="cs"/>
          <w:rtl/>
        </w:rPr>
        <w:t xml:space="preserve"> שהעולם יתנהל.</w:t>
      </w:r>
    </w:p>
    <w:p w14:paraId="73564784"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lastRenderedPageBreak/>
        <w:t>אם הדברים נכוחים, ההבחנה ביחס לגיל מצוות מובנת גם היא:</w:t>
      </w:r>
    </w:p>
    <w:p w14:paraId="5002824C"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משמעות עבודת ה' של איש ישראל מקבלת תוקף כאשר הוא נמצא בתוך המאבק היצרי. ביחס אליו הורה לנו משה רבינו מפי הגבורה שמאבק זה מקבל משמעות בגיל שלוש עשרה.</w:t>
      </w:r>
    </w:p>
    <w:p w14:paraId="0B4D7474"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לעומת זאת, תפקידו של בן נח הוא לקיים את החברה. המאבקים הפנימיים שלו אינם נשוא קיום מצוות בני נח. מעת שהוא יכול להבין אותם ולעמוד בהם, עליו לקיים אותם.</w:t>
      </w:r>
    </w:p>
    <w:p w14:paraId="35794DA0" w14:textId="77777777" w:rsidR="0018470F" w:rsidRPr="0018470F" w:rsidRDefault="0018470F" w:rsidP="0018470F">
      <w:pPr>
        <w:contextualSpacing/>
        <w:rPr>
          <w:rFonts w:ascii="David" w:eastAsia="Calibri" w:hAnsi="David" w:cs="David"/>
          <w:rtl/>
        </w:rPr>
      </w:pPr>
    </w:p>
    <w:p w14:paraId="09A3B18B" w14:textId="77777777" w:rsidR="0018470F" w:rsidRPr="0018470F" w:rsidRDefault="0018470F" w:rsidP="0018470F">
      <w:pPr>
        <w:contextualSpacing/>
        <w:rPr>
          <w:rFonts w:ascii="David" w:eastAsia="Calibri" w:hAnsi="David" w:cs="David"/>
          <w:rtl/>
        </w:rPr>
      </w:pPr>
      <w:r w:rsidRPr="0018470F">
        <w:rPr>
          <w:rFonts w:ascii="David" w:eastAsia="Calibri" w:hAnsi="David" w:cs="David" w:hint="cs"/>
          <w:rtl/>
        </w:rPr>
        <w:t xml:space="preserve">ראוי לציין שבנחל יצחק (סימן ז ענף ב) מבקש להרחיב ולומר שגם ישראל קטן חייב במצוות שמקיימות את העולם. הרב אשר וייס חולק על הרחבה זו, מפני שהלכה למשה מסיני שישראל קטן אינו חייב דבר. לפי הדברים הנ"ל יש מקום להבין את משמעות דברי הנחל יצחק: אמנם עבודת ה' שבקיום המצוות מתחילה מגיל שלוש עשרה, אך מעבר לכך על כל אדם המסוגל לכך לעשות כדי </w:t>
      </w:r>
      <w:proofErr w:type="spellStart"/>
      <w:r w:rsidRPr="0018470F">
        <w:rPr>
          <w:rFonts w:ascii="David" w:eastAsia="Calibri" w:hAnsi="David" w:cs="David" w:hint="cs"/>
          <w:rtl/>
        </w:rPr>
        <w:t>יכלתו</w:t>
      </w:r>
      <w:proofErr w:type="spellEnd"/>
      <w:r w:rsidRPr="0018470F">
        <w:rPr>
          <w:rFonts w:ascii="David" w:eastAsia="Calibri" w:hAnsi="David" w:cs="David" w:hint="cs"/>
          <w:rtl/>
        </w:rPr>
        <w:t xml:space="preserve"> בכדי לקיים את העולם.</w:t>
      </w:r>
    </w:p>
    <w:p w14:paraId="67DEE0BC" w14:textId="77777777" w:rsidR="0018470F" w:rsidRPr="0018470F" w:rsidRDefault="0018470F" w:rsidP="0018470F">
      <w:pPr>
        <w:contextualSpacing/>
        <w:rPr>
          <w:rFonts w:ascii="David" w:eastAsia="Calibri" w:hAnsi="David" w:cs="David"/>
          <w:sz w:val="20"/>
          <w:szCs w:val="20"/>
        </w:rPr>
      </w:pPr>
    </w:p>
    <w:p w14:paraId="1312245C" w14:textId="4661F3EE" w:rsidR="0018470F" w:rsidRDefault="001141B5" w:rsidP="0018470F">
      <w:pPr>
        <w:contextualSpacing/>
        <w:jc w:val="center"/>
        <w:rPr>
          <w:rFonts w:cs="David"/>
          <w:b/>
          <w:bCs/>
          <w:color w:val="0070C0"/>
          <w:u w:val="single"/>
          <w:rtl/>
          <w:lang w:eastAsia="he-IL"/>
        </w:rPr>
      </w:pPr>
      <w:r w:rsidRPr="00A355EC">
        <w:rPr>
          <w:rFonts w:cs="David" w:hint="cs"/>
          <w:b/>
          <w:bCs/>
          <w:color w:val="0070C0"/>
          <w:rtl/>
          <w:lang w:eastAsia="he-IL"/>
        </w:rPr>
        <w:t xml:space="preserve">ניתן ליצור קשר עם הכותבים דרך:  </w:t>
      </w:r>
      <w:hyperlink r:id="rId16" w:history="1">
        <w:r w:rsidRPr="00A355EC">
          <w:rPr>
            <w:rFonts w:cs="David"/>
            <w:b/>
            <w:bCs/>
            <w:color w:val="0070C0"/>
            <w:u w:val="single"/>
            <w:lang w:eastAsia="he-IL"/>
          </w:rPr>
          <w:t>info@eretzhemdah.org</w:t>
        </w:r>
      </w:hyperlink>
    </w:p>
    <w:p w14:paraId="36D7CF92" w14:textId="77777777" w:rsidR="0018470F" w:rsidRPr="000B4C39" w:rsidRDefault="0018470F" w:rsidP="000B4C39">
      <w:pPr>
        <w:contextualSpacing/>
        <w:rPr>
          <w:rFonts w:ascii="David" w:eastAsia="Calibri" w:hAnsi="David" w:cs="David"/>
          <w:sz w:val="20"/>
          <w:szCs w:val="20"/>
          <w:rtl/>
        </w:rPr>
      </w:pPr>
    </w:p>
    <w:bookmarkStart w:id="4" w:name="_Hlk208479624"/>
    <w:p w14:paraId="7D7B6EBD" w14:textId="20610DFA" w:rsidR="001141B5" w:rsidRDefault="001141B5" w:rsidP="0018470F">
      <w:pPr>
        <w:contextualSpacing/>
        <w:jc w:val="center"/>
        <w:rPr>
          <w:rStyle w:val="Hyperlink"/>
          <w:rFonts w:cs="David"/>
          <w:b/>
          <w:bCs/>
          <w:sz w:val="23"/>
          <w:szCs w:val="23"/>
          <w:u w:val="none"/>
          <w:rtl/>
          <w:lang w:eastAsia="he-IL"/>
        </w:rPr>
      </w:pPr>
      <w:r>
        <w:fldChar w:fldCharType="begin"/>
      </w:r>
      <w:r>
        <w:instrText xml:space="preserve"> HYPERLINK "https://www.eretzhemdah.org/content.asp?PageId=8&amp;lang=he" </w:instrText>
      </w:r>
      <w:r>
        <w:fldChar w:fldCharType="separate"/>
      </w:r>
      <w:r w:rsidRPr="00CB4B59">
        <w:rPr>
          <w:rStyle w:val="Hyperlink"/>
          <w:rFonts w:cs="David" w:hint="cs"/>
          <w:b/>
          <w:bCs/>
          <w:sz w:val="23"/>
          <w:szCs w:val="23"/>
          <w:rtl/>
          <w:lang w:eastAsia="he-IL"/>
        </w:rPr>
        <w:t xml:space="preserve">ארץ חמדה – קישור לשיעורי "מורנו" </w:t>
      </w:r>
      <w:proofErr w:type="spellStart"/>
      <w:r w:rsidRPr="00CB4B59">
        <w:rPr>
          <w:rStyle w:val="Hyperlink"/>
          <w:rFonts w:cs="David" w:hint="cs"/>
          <w:b/>
          <w:bCs/>
          <w:sz w:val="23"/>
          <w:szCs w:val="23"/>
          <w:rtl/>
          <w:lang w:eastAsia="he-IL"/>
        </w:rPr>
        <w:t>ביוטיוב</w:t>
      </w:r>
      <w:proofErr w:type="spellEnd"/>
      <w:r>
        <w:rPr>
          <w:rStyle w:val="Hyperlink"/>
          <w:rFonts w:cs="David"/>
          <w:b/>
          <w:bCs/>
          <w:sz w:val="23"/>
          <w:szCs w:val="23"/>
          <w:lang w:eastAsia="he-IL"/>
        </w:rPr>
        <w:fldChar w:fldCharType="end"/>
      </w:r>
      <w:bookmarkEnd w:id="4"/>
    </w:p>
    <w:p w14:paraId="780B8DEF" w14:textId="77777777" w:rsidR="0018470F" w:rsidRPr="000B4C39" w:rsidRDefault="0018470F" w:rsidP="001141B5">
      <w:pPr>
        <w:contextualSpacing/>
        <w:rPr>
          <w:rFonts w:ascii="David" w:eastAsia="Calibri" w:hAnsi="David" w:cs="David"/>
          <w:sz w:val="20"/>
          <w:szCs w:val="20"/>
          <w:rtl/>
        </w:rPr>
      </w:pPr>
    </w:p>
    <w:tbl>
      <w:tblPr>
        <w:tblStyle w:val="1f8"/>
        <w:tblpPr w:leftFromText="180" w:rightFromText="180" w:vertAnchor="text" w:horzAnchor="margin" w:tblpXSpec="center" w:tblpY="142"/>
        <w:bidiVisual/>
        <w:tblW w:w="10514" w:type="dxa"/>
        <w:tblLook w:val="04A0" w:firstRow="1" w:lastRow="0" w:firstColumn="1" w:lastColumn="0" w:noHBand="0" w:noVBand="1"/>
      </w:tblPr>
      <w:tblGrid>
        <w:gridCol w:w="1301"/>
        <w:gridCol w:w="280"/>
        <w:gridCol w:w="11"/>
        <w:gridCol w:w="137"/>
        <w:gridCol w:w="281"/>
        <w:gridCol w:w="988"/>
        <w:gridCol w:w="708"/>
        <w:gridCol w:w="149"/>
        <w:gridCol w:w="560"/>
        <w:gridCol w:w="146"/>
        <w:gridCol w:w="7"/>
        <w:gridCol w:w="709"/>
        <w:gridCol w:w="563"/>
        <w:gridCol w:w="418"/>
        <w:gridCol w:w="70"/>
        <w:gridCol w:w="504"/>
        <w:gridCol w:w="571"/>
        <w:gridCol w:w="142"/>
        <w:gridCol w:w="279"/>
        <w:gridCol w:w="423"/>
        <w:gridCol w:w="420"/>
        <w:gridCol w:w="710"/>
        <w:gridCol w:w="857"/>
        <w:gridCol w:w="280"/>
      </w:tblGrid>
      <w:tr w:rsidR="001141B5" w:rsidRPr="005648DA" w14:paraId="0655418D" w14:textId="77777777" w:rsidTr="0073677A">
        <w:tc>
          <w:tcPr>
            <w:tcW w:w="6832" w:type="dxa"/>
            <w:gridSpan w:val="16"/>
            <w:tcBorders>
              <w:top w:val="single" w:sz="4" w:space="0" w:color="auto"/>
              <w:left w:val="single" w:sz="4" w:space="0" w:color="auto"/>
              <w:bottom w:val="nil"/>
              <w:right w:val="nil"/>
            </w:tcBorders>
            <w:vAlign w:val="center"/>
          </w:tcPr>
          <w:p w14:paraId="7167769F" w14:textId="77777777" w:rsidR="001141B5" w:rsidRPr="005648DA" w:rsidRDefault="001141B5" w:rsidP="001141B5">
            <w:pPr>
              <w:contextualSpacing/>
              <w:jc w:val="center"/>
              <w:rPr>
                <w:rFonts w:cs="David"/>
                <w:b/>
                <w:bCs/>
                <w:sz w:val="6"/>
                <w:szCs w:val="6"/>
                <w:u w:val="single"/>
                <w:rtl/>
              </w:rPr>
            </w:pPr>
          </w:p>
          <w:p w14:paraId="293EA7C7" w14:textId="77777777" w:rsidR="001141B5" w:rsidRPr="005648DA" w:rsidRDefault="001141B5" w:rsidP="001141B5">
            <w:pPr>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2" w:type="dxa"/>
            <w:gridSpan w:val="8"/>
            <w:tcBorders>
              <w:top w:val="single" w:sz="4" w:space="0" w:color="auto"/>
              <w:left w:val="nil"/>
              <w:bottom w:val="nil"/>
              <w:right w:val="single" w:sz="4" w:space="0" w:color="auto"/>
            </w:tcBorders>
            <w:vAlign w:val="center"/>
          </w:tcPr>
          <w:p w14:paraId="63B73410" w14:textId="77777777" w:rsidR="001141B5" w:rsidRPr="005648DA" w:rsidRDefault="001141B5" w:rsidP="001141B5">
            <w:pPr>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1141B5" w:rsidRPr="005648DA" w14:paraId="6635B12E" w14:textId="77777777" w:rsidTr="0073677A">
        <w:tc>
          <w:tcPr>
            <w:tcW w:w="1581" w:type="dxa"/>
            <w:gridSpan w:val="2"/>
            <w:tcBorders>
              <w:top w:val="nil"/>
              <w:left w:val="single" w:sz="4" w:space="0" w:color="auto"/>
              <w:bottom w:val="nil"/>
              <w:right w:val="nil"/>
            </w:tcBorders>
            <w:vAlign w:val="center"/>
          </w:tcPr>
          <w:p w14:paraId="0FC07BBE" w14:textId="46C4F9E5" w:rsidR="001141B5" w:rsidRPr="005648DA" w:rsidRDefault="001141B5" w:rsidP="001141B5">
            <w:pPr>
              <w:spacing w:line="276" w:lineRule="auto"/>
              <w:contextualSpacing/>
              <w:jc w:val="center"/>
              <w:rPr>
                <w:rFonts w:cs="David"/>
                <w:b/>
                <w:bCs/>
                <w:color w:val="0070C0"/>
                <w:sz w:val="20"/>
                <w:szCs w:val="20"/>
              </w:rPr>
            </w:pPr>
            <w:r w:rsidRPr="005648DA">
              <w:rPr>
                <w:rFonts w:ascii="David" w:hAnsi="David" w:cs="David" w:hint="cs"/>
                <w:b/>
                <w:bCs/>
                <w:color w:val="0070C0"/>
                <w:sz w:val="20"/>
                <w:szCs w:val="20"/>
                <w:rtl/>
              </w:rPr>
              <w:t>ש</w:t>
            </w:r>
            <w:r w:rsidR="0073677A">
              <w:rPr>
                <w:rFonts w:ascii="David" w:hAnsi="David" w:cs="David" w:hint="cs"/>
                <w:b/>
                <w:bCs/>
                <w:color w:val="0070C0"/>
                <w:sz w:val="20"/>
                <w:szCs w:val="20"/>
                <w:rtl/>
              </w:rPr>
              <w:t>לו</w:t>
            </w:r>
            <w:r w:rsidRPr="005648DA">
              <w:rPr>
                <w:rFonts w:ascii="David" w:hAnsi="David" w:cs="David" w:hint="cs"/>
                <w:b/>
                <w:bCs/>
                <w:color w:val="0070C0"/>
                <w:sz w:val="20"/>
                <w:szCs w:val="20"/>
                <w:rtl/>
              </w:rPr>
              <w:t>מית בת לאה</w:t>
            </w:r>
          </w:p>
        </w:tc>
        <w:tc>
          <w:tcPr>
            <w:tcW w:w="2987" w:type="dxa"/>
            <w:gridSpan w:val="9"/>
            <w:tcBorders>
              <w:top w:val="nil"/>
              <w:left w:val="nil"/>
              <w:bottom w:val="nil"/>
              <w:right w:val="nil"/>
            </w:tcBorders>
            <w:vAlign w:val="center"/>
          </w:tcPr>
          <w:p w14:paraId="6657E05E"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6"/>
            <w:tcBorders>
              <w:top w:val="nil"/>
              <w:left w:val="nil"/>
              <w:bottom w:val="nil"/>
              <w:right w:val="nil"/>
            </w:tcBorders>
            <w:vAlign w:val="center"/>
          </w:tcPr>
          <w:p w14:paraId="544766C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31" w:type="dxa"/>
            <w:gridSpan w:val="6"/>
            <w:tcBorders>
              <w:top w:val="nil"/>
              <w:left w:val="nil"/>
              <w:bottom w:val="nil"/>
              <w:right w:val="nil"/>
            </w:tcBorders>
            <w:vAlign w:val="center"/>
          </w:tcPr>
          <w:p w14:paraId="523E4744" w14:textId="77777777" w:rsidR="001141B5" w:rsidRPr="005648DA" w:rsidRDefault="001141B5" w:rsidP="001141B5">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0" w:type="dxa"/>
            <w:tcBorders>
              <w:top w:val="nil"/>
              <w:left w:val="nil"/>
              <w:bottom w:val="nil"/>
              <w:right w:val="single" w:sz="4" w:space="0" w:color="auto"/>
            </w:tcBorders>
            <w:vAlign w:val="center"/>
          </w:tcPr>
          <w:p w14:paraId="3A40E248" w14:textId="77777777" w:rsidR="001141B5" w:rsidRPr="005648DA" w:rsidRDefault="001141B5" w:rsidP="001141B5">
            <w:pPr>
              <w:spacing w:line="252" w:lineRule="auto"/>
              <w:contextualSpacing/>
              <w:jc w:val="center"/>
              <w:rPr>
                <w:rFonts w:cs="David"/>
                <w:b/>
                <w:bCs/>
                <w:color w:val="0070C0"/>
                <w:sz w:val="19"/>
                <w:szCs w:val="19"/>
              </w:rPr>
            </w:pPr>
          </w:p>
        </w:tc>
      </w:tr>
      <w:tr w:rsidR="001141B5" w:rsidRPr="005648DA" w14:paraId="0504D26C" w14:textId="77777777" w:rsidTr="0073677A">
        <w:tc>
          <w:tcPr>
            <w:tcW w:w="1301" w:type="dxa"/>
            <w:tcBorders>
              <w:top w:val="nil"/>
              <w:left w:val="single" w:sz="4" w:space="0" w:color="auto"/>
              <w:bottom w:val="nil"/>
              <w:right w:val="nil"/>
            </w:tcBorders>
            <w:vAlign w:val="center"/>
          </w:tcPr>
          <w:p w14:paraId="34DB276D"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b/>
                <w:bCs/>
                <w:color w:val="0070C0"/>
                <w:sz w:val="19"/>
                <w:szCs w:val="19"/>
                <w:rtl/>
              </w:rPr>
              <w:t>אוראל בן דליה</w:t>
            </w:r>
          </w:p>
        </w:tc>
        <w:tc>
          <w:tcPr>
            <w:tcW w:w="1697" w:type="dxa"/>
            <w:gridSpan w:val="5"/>
            <w:tcBorders>
              <w:top w:val="nil"/>
              <w:left w:val="nil"/>
              <w:bottom w:val="nil"/>
              <w:right w:val="nil"/>
            </w:tcBorders>
            <w:vAlign w:val="center"/>
          </w:tcPr>
          <w:p w14:paraId="568441C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417" w:type="dxa"/>
            <w:gridSpan w:val="3"/>
            <w:tcBorders>
              <w:top w:val="nil"/>
              <w:left w:val="nil"/>
              <w:bottom w:val="nil"/>
              <w:right w:val="nil"/>
            </w:tcBorders>
            <w:vAlign w:val="center"/>
          </w:tcPr>
          <w:p w14:paraId="2ADC96E9" w14:textId="77777777" w:rsidR="001141B5" w:rsidRPr="005648DA" w:rsidRDefault="001141B5" w:rsidP="001141B5">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5"/>
            <w:tcBorders>
              <w:top w:val="nil"/>
              <w:left w:val="nil"/>
              <w:bottom w:val="nil"/>
              <w:right w:val="nil"/>
            </w:tcBorders>
            <w:vAlign w:val="center"/>
          </w:tcPr>
          <w:p w14:paraId="6B9628C8"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9" w:type="dxa"/>
            <w:gridSpan w:val="8"/>
            <w:tcBorders>
              <w:top w:val="nil"/>
              <w:left w:val="nil"/>
              <w:bottom w:val="nil"/>
              <w:right w:val="nil"/>
            </w:tcBorders>
            <w:vAlign w:val="center"/>
          </w:tcPr>
          <w:p w14:paraId="7AA76D13"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37" w:type="dxa"/>
            <w:gridSpan w:val="2"/>
            <w:tcBorders>
              <w:top w:val="nil"/>
              <w:left w:val="nil"/>
              <w:bottom w:val="nil"/>
              <w:right w:val="single" w:sz="4" w:space="0" w:color="auto"/>
            </w:tcBorders>
            <w:vAlign w:val="center"/>
          </w:tcPr>
          <w:p w14:paraId="04106BD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141B5" w:rsidRPr="005648DA" w14:paraId="19A09550" w14:textId="77777777" w:rsidTr="0073677A">
        <w:tc>
          <w:tcPr>
            <w:tcW w:w="1592" w:type="dxa"/>
            <w:gridSpan w:val="3"/>
            <w:tcBorders>
              <w:top w:val="nil"/>
              <w:left w:val="single" w:sz="4" w:space="0" w:color="auto"/>
              <w:bottom w:val="nil"/>
              <w:right w:val="nil"/>
            </w:tcBorders>
            <w:vAlign w:val="center"/>
          </w:tcPr>
          <w:p w14:paraId="25093421"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4" w:type="dxa"/>
            <w:gridSpan w:val="4"/>
            <w:tcBorders>
              <w:top w:val="nil"/>
              <w:left w:val="nil"/>
              <w:bottom w:val="nil"/>
              <w:right w:val="nil"/>
            </w:tcBorders>
            <w:vAlign w:val="center"/>
          </w:tcPr>
          <w:p w14:paraId="6D21A6FC"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5"/>
            <w:tcBorders>
              <w:top w:val="nil"/>
              <w:left w:val="nil"/>
              <w:bottom w:val="nil"/>
              <w:right w:val="nil"/>
            </w:tcBorders>
            <w:vAlign w:val="center"/>
          </w:tcPr>
          <w:p w14:paraId="3F0FF8F3" w14:textId="77777777" w:rsidR="001141B5" w:rsidRPr="005648DA" w:rsidRDefault="001141B5" w:rsidP="001141B5">
            <w:pPr>
              <w:spacing w:line="276" w:lineRule="auto"/>
              <w:contextualSpacing/>
              <w:jc w:val="center"/>
              <w:rPr>
                <w:rFonts w:cs="David"/>
                <w:b/>
                <w:bCs/>
                <w:color w:val="0070C0"/>
                <w:sz w:val="19"/>
                <w:szCs w:val="19"/>
              </w:rPr>
            </w:pPr>
            <w:r w:rsidRPr="005648DA">
              <w:rPr>
                <w:rFonts w:ascii="Calibri" w:eastAsia="Calibri" w:hAnsi="Calibri" w:cs="David" w:hint="cs"/>
                <w:b/>
                <w:bCs/>
                <w:color w:val="0070C0"/>
                <w:sz w:val="19"/>
                <w:szCs w:val="19"/>
                <w:rtl/>
              </w:rPr>
              <w:t>שמואל בן ברוריה</w:t>
            </w:r>
          </w:p>
        </w:tc>
        <w:tc>
          <w:tcPr>
            <w:tcW w:w="2268" w:type="dxa"/>
            <w:gridSpan w:val="6"/>
            <w:tcBorders>
              <w:top w:val="nil"/>
              <w:left w:val="nil"/>
              <w:bottom w:val="nil"/>
              <w:right w:val="nil"/>
            </w:tcBorders>
            <w:vAlign w:val="center"/>
          </w:tcPr>
          <w:p w14:paraId="62CE4F3A"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b/>
                <w:bCs/>
                <w:color w:val="0070C0"/>
                <w:sz w:val="19"/>
                <w:szCs w:val="19"/>
                <w:rtl/>
              </w:rPr>
              <w:t>יאיר ידידיה בן מיכל בינה</w:t>
            </w:r>
          </w:p>
        </w:tc>
        <w:tc>
          <w:tcPr>
            <w:tcW w:w="1122" w:type="dxa"/>
            <w:gridSpan w:val="3"/>
            <w:tcBorders>
              <w:top w:val="nil"/>
              <w:left w:val="nil"/>
              <w:bottom w:val="nil"/>
              <w:right w:val="nil"/>
            </w:tcBorders>
            <w:vAlign w:val="center"/>
          </w:tcPr>
          <w:p w14:paraId="1FC252D1" w14:textId="77777777" w:rsidR="001141B5" w:rsidRPr="005648DA" w:rsidRDefault="001141B5" w:rsidP="001141B5">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47" w:type="dxa"/>
            <w:gridSpan w:val="3"/>
            <w:tcBorders>
              <w:top w:val="nil"/>
              <w:left w:val="nil"/>
              <w:bottom w:val="nil"/>
              <w:right w:val="single" w:sz="4" w:space="0" w:color="auto"/>
            </w:tcBorders>
            <w:vAlign w:val="center"/>
          </w:tcPr>
          <w:p w14:paraId="7CEFE13B"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141B5" w:rsidRPr="005648DA" w14:paraId="1554105E" w14:textId="77777777" w:rsidTr="0073677A">
        <w:tc>
          <w:tcPr>
            <w:tcW w:w="1729" w:type="dxa"/>
            <w:gridSpan w:val="4"/>
            <w:tcBorders>
              <w:top w:val="nil"/>
              <w:left w:val="single" w:sz="4" w:space="0" w:color="auto"/>
              <w:bottom w:val="nil"/>
              <w:right w:val="nil"/>
            </w:tcBorders>
            <w:vAlign w:val="center"/>
          </w:tcPr>
          <w:p w14:paraId="408CE1B9"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77BC50DE"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עובדיה בן אסתר מלכה </w:t>
            </w:r>
          </w:p>
        </w:tc>
        <w:tc>
          <w:tcPr>
            <w:tcW w:w="1985" w:type="dxa"/>
            <w:gridSpan w:val="5"/>
            <w:tcBorders>
              <w:top w:val="nil"/>
              <w:left w:val="nil"/>
              <w:bottom w:val="nil"/>
              <w:right w:val="nil"/>
            </w:tcBorders>
            <w:vAlign w:val="center"/>
          </w:tcPr>
          <w:p w14:paraId="0E774C9D"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984" w:type="dxa"/>
            <w:gridSpan w:val="6"/>
            <w:tcBorders>
              <w:top w:val="nil"/>
              <w:left w:val="nil"/>
              <w:bottom w:val="nil"/>
              <w:right w:val="nil"/>
            </w:tcBorders>
            <w:vAlign w:val="center"/>
          </w:tcPr>
          <w:p w14:paraId="11C2CF2C"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2410" w:type="dxa"/>
            <w:gridSpan w:val="4"/>
            <w:tcBorders>
              <w:top w:val="nil"/>
              <w:left w:val="nil"/>
              <w:bottom w:val="nil"/>
              <w:right w:val="nil"/>
            </w:tcBorders>
            <w:vAlign w:val="center"/>
          </w:tcPr>
          <w:p w14:paraId="79927DEF" w14:textId="77777777" w:rsidR="001141B5" w:rsidRPr="005648DA" w:rsidRDefault="001141B5" w:rsidP="001141B5">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0" w:type="dxa"/>
            <w:tcBorders>
              <w:top w:val="nil"/>
              <w:left w:val="nil"/>
              <w:bottom w:val="nil"/>
              <w:right w:val="single" w:sz="4" w:space="0" w:color="auto"/>
            </w:tcBorders>
            <w:vAlign w:val="center"/>
          </w:tcPr>
          <w:p w14:paraId="03F62773" w14:textId="77777777" w:rsidR="001141B5" w:rsidRPr="005648DA" w:rsidRDefault="001141B5" w:rsidP="001141B5">
            <w:pPr>
              <w:spacing w:line="276" w:lineRule="auto"/>
              <w:contextualSpacing/>
              <w:jc w:val="center"/>
              <w:rPr>
                <w:rFonts w:cs="David"/>
                <w:b/>
                <w:bCs/>
                <w:color w:val="0070C0"/>
                <w:sz w:val="19"/>
                <w:szCs w:val="19"/>
                <w:rtl/>
              </w:rPr>
            </w:pPr>
          </w:p>
        </w:tc>
      </w:tr>
      <w:tr w:rsidR="0073677A" w:rsidRPr="005648DA" w14:paraId="63F37F9A" w14:textId="77777777" w:rsidTr="0073677A">
        <w:tc>
          <w:tcPr>
            <w:tcW w:w="2010" w:type="dxa"/>
            <w:gridSpan w:val="5"/>
            <w:tcBorders>
              <w:top w:val="nil"/>
              <w:left w:val="single" w:sz="4" w:space="0" w:color="auto"/>
              <w:bottom w:val="single" w:sz="4" w:space="0" w:color="auto"/>
              <w:right w:val="nil"/>
            </w:tcBorders>
            <w:vAlign w:val="center"/>
          </w:tcPr>
          <w:p w14:paraId="5504925B" w14:textId="77777777" w:rsidR="0073677A" w:rsidRPr="005648DA" w:rsidRDefault="0073677A" w:rsidP="001141B5">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2551" w:type="dxa"/>
            <w:gridSpan w:val="5"/>
            <w:tcBorders>
              <w:top w:val="nil"/>
              <w:left w:val="nil"/>
              <w:bottom w:val="single" w:sz="4" w:space="0" w:color="auto"/>
              <w:right w:val="nil"/>
            </w:tcBorders>
            <w:vAlign w:val="center"/>
          </w:tcPr>
          <w:p w14:paraId="2B6F8D58" w14:textId="77777777" w:rsidR="0073677A" w:rsidRPr="005648DA" w:rsidRDefault="0073677A" w:rsidP="001141B5">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1767" w:type="dxa"/>
            <w:gridSpan w:val="5"/>
            <w:tcBorders>
              <w:top w:val="nil"/>
              <w:left w:val="nil"/>
              <w:bottom w:val="single" w:sz="4" w:space="0" w:color="auto"/>
              <w:right w:val="nil"/>
            </w:tcBorders>
            <w:vAlign w:val="center"/>
          </w:tcPr>
          <w:p w14:paraId="2EC81A62" w14:textId="1B6DC3F4" w:rsidR="0073677A" w:rsidRPr="005648DA" w:rsidRDefault="0073677A" w:rsidP="001141B5">
            <w:pPr>
              <w:spacing w:line="276" w:lineRule="auto"/>
              <w:ind w:firstLine="21"/>
              <w:contextualSpacing/>
              <w:jc w:val="center"/>
              <w:rPr>
                <w:rFonts w:ascii="Calibri" w:eastAsia="Calibri" w:hAnsi="Calibri" w:cs="David"/>
                <w:b/>
                <w:bCs/>
                <w:color w:val="0070C0"/>
                <w:sz w:val="19"/>
                <w:szCs w:val="19"/>
                <w:rtl/>
              </w:rPr>
            </w:pPr>
            <w:r w:rsidRPr="005648DA">
              <w:rPr>
                <w:rFonts w:ascii="David" w:hAnsi="David" w:cs="David"/>
                <w:b/>
                <w:bCs/>
                <w:color w:val="0070C0"/>
                <w:sz w:val="19"/>
                <w:szCs w:val="19"/>
                <w:rtl/>
              </w:rPr>
              <w:t>משה בן אסתר חיה</w:t>
            </w:r>
          </w:p>
        </w:tc>
        <w:tc>
          <w:tcPr>
            <w:tcW w:w="1919" w:type="dxa"/>
            <w:gridSpan w:val="5"/>
            <w:tcBorders>
              <w:top w:val="nil"/>
              <w:left w:val="nil"/>
              <w:bottom w:val="single" w:sz="4" w:space="0" w:color="auto"/>
              <w:right w:val="nil"/>
            </w:tcBorders>
            <w:vAlign w:val="center"/>
          </w:tcPr>
          <w:p w14:paraId="718E2C1A" w14:textId="7BF35AB7" w:rsidR="0073677A" w:rsidRPr="005648DA" w:rsidRDefault="0073677A" w:rsidP="001141B5">
            <w:pPr>
              <w:spacing w:line="276" w:lineRule="auto"/>
              <w:ind w:firstLine="21"/>
              <w:contextualSpacing/>
              <w:jc w:val="center"/>
              <w:rPr>
                <w:rFonts w:ascii="Calibri" w:eastAsia="Calibri" w:hAnsi="Calibri" w:cs="David"/>
                <w:b/>
                <w:bCs/>
                <w:color w:val="0070C0"/>
                <w:sz w:val="19"/>
                <w:szCs w:val="19"/>
                <w:rtl/>
              </w:rPr>
            </w:pPr>
            <w:r>
              <w:rPr>
                <w:rFonts w:ascii="Calibri" w:eastAsia="Calibri" w:hAnsi="Calibri" w:cs="David" w:hint="cs"/>
                <w:b/>
                <w:bCs/>
                <w:color w:val="0070C0"/>
                <w:sz w:val="19"/>
                <w:szCs w:val="19"/>
                <w:rtl/>
              </w:rPr>
              <w:t>אילנה בת עליה</w:t>
            </w:r>
          </w:p>
        </w:tc>
        <w:tc>
          <w:tcPr>
            <w:tcW w:w="2267" w:type="dxa"/>
            <w:gridSpan w:val="4"/>
            <w:tcBorders>
              <w:top w:val="nil"/>
              <w:left w:val="nil"/>
              <w:bottom w:val="single" w:sz="4" w:space="0" w:color="auto"/>
              <w:right w:val="single" w:sz="4" w:space="0" w:color="auto"/>
            </w:tcBorders>
            <w:vAlign w:val="center"/>
          </w:tcPr>
          <w:p w14:paraId="763ED80E" w14:textId="77777777" w:rsidR="0073677A" w:rsidRPr="005648DA" w:rsidRDefault="0073677A" w:rsidP="001141B5">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r>
    </w:tbl>
    <w:p w14:paraId="45CA4CB6" w14:textId="03544DA9" w:rsidR="000801C9" w:rsidRPr="00FD222E" w:rsidRDefault="000801C9" w:rsidP="001141B5">
      <w:pPr>
        <w:rPr>
          <w:rFonts w:ascii="David" w:eastAsia="Calibri" w:hAnsi="David" w:cs="David"/>
          <w:sz w:val="12"/>
          <w:szCs w:val="12"/>
          <w:rtl/>
        </w:rPr>
      </w:pPr>
    </w:p>
    <w:bookmarkEnd w:id="3"/>
    <w:bookmarkEnd w:id="0"/>
    <w:p w14:paraId="71E5E971" w14:textId="727FAD19" w:rsidR="00FD222E" w:rsidRDefault="00FD222E" w:rsidP="00601083">
      <w:pPr>
        <w:contextualSpacing/>
        <w:rPr>
          <w:rFonts w:cs="David"/>
          <w:rtl/>
        </w:rPr>
      </w:pPr>
    </w:p>
    <w:p w14:paraId="27209EE1" w14:textId="34B508B3" w:rsidR="00FA476D" w:rsidRDefault="000B4C39" w:rsidP="00601083">
      <w:pPr>
        <w:contextualSpacing/>
        <w:rPr>
          <w:rFonts w:cs="David"/>
          <w:rtl/>
        </w:rPr>
      </w:pPr>
      <w:r w:rsidRPr="00A355EC">
        <w:rPr>
          <w:noProof/>
        </w:rPr>
        <w:drawing>
          <wp:anchor distT="0" distB="0" distL="114300" distR="114300" simplePos="0" relativeHeight="252046336" behindDoc="1" locked="0" layoutInCell="1" allowOverlap="1" wp14:anchorId="463393CD" wp14:editId="4C68F71E">
            <wp:simplePos x="0" y="0"/>
            <wp:positionH relativeFrom="column">
              <wp:posOffset>5133975</wp:posOffset>
            </wp:positionH>
            <wp:positionV relativeFrom="paragraph">
              <wp:posOffset>151130</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BA9CA" w14:textId="51513D99" w:rsidR="00A355EC" w:rsidRPr="00A355EC" w:rsidRDefault="00A355EC" w:rsidP="000B4C39">
      <w:pPr>
        <w:ind w:left="-2" w:firstLine="2"/>
        <w:contextualSpacing/>
        <w:rPr>
          <w:rFonts w:cs="David"/>
        </w:rPr>
      </w:pPr>
      <w:bookmarkStart w:id="5" w:name="OLE_LINK25"/>
      <w:bookmarkStart w:id="6" w:name="OLE_LINK26"/>
      <w:bookmarkStart w:id="7" w:name="OLE_LINK5"/>
      <w:bookmarkStart w:id="8" w:name="OLE_LINK6"/>
      <w:bookmarkStart w:id="9" w:name="OLE_LINK7"/>
    </w:p>
    <w:p w14:paraId="59DD7EC0" w14:textId="77777777" w:rsidR="00A355EC" w:rsidRPr="00A355EC" w:rsidRDefault="00A355EC" w:rsidP="00A355EC">
      <w:pPr>
        <w:jc w:val="both"/>
        <w:rPr>
          <w:rFonts w:cs="David"/>
          <w:b/>
          <w:bCs/>
          <w:sz w:val="32"/>
          <w:szCs w:val="32"/>
          <w:rtl/>
          <w:lang w:eastAsia="he-IL"/>
        </w:rPr>
      </w:pPr>
    </w:p>
    <w:p w14:paraId="215479D2" w14:textId="77777777" w:rsidR="00A355EC" w:rsidRPr="00A355EC" w:rsidRDefault="00A355EC" w:rsidP="00A355EC">
      <w:pPr>
        <w:jc w:val="both"/>
        <w:rPr>
          <w:rFonts w:cs="David"/>
          <w:b/>
          <w:bCs/>
          <w:sz w:val="12"/>
          <w:szCs w:val="12"/>
          <w:rtl/>
          <w:lang w:eastAsia="he-IL"/>
        </w:rPr>
      </w:pPr>
    </w:p>
    <w:p w14:paraId="40D2409C" w14:textId="77777777" w:rsidR="00A355EC" w:rsidRPr="00A355EC" w:rsidRDefault="00A355EC" w:rsidP="00A355EC">
      <w:pPr>
        <w:rPr>
          <w:rFonts w:cs="David"/>
          <w:b/>
          <w:bCs/>
          <w:sz w:val="32"/>
          <w:szCs w:val="32"/>
          <w:rtl/>
          <w:lang w:eastAsia="he-IL"/>
        </w:rPr>
      </w:pPr>
      <w:r w:rsidRPr="00A355EC">
        <w:rPr>
          <w:rFonts w:cs="David"/>
          <w:b/>
          <w:bCs/>
          <w:sz w:val="32"/>
          <w:szCs w:val="32"/>
          <w:rtl/>
          <w:lang w:eastAsia="he-IL"/>
        </w:rPr>
        <w:t>הרב מרדכי הוכמן</w:t>
      </w:r>
    </w:p>
    <w:p w14:paraId="5D0579E9" w14:textId="77777777" w:rsidR="00A355EC" w:rsidRPr="00A355EC" w:rsidRDefault="00A355EC" w:rsidP="001141B5">
      <w:pPr>
        <w:tabs>
          <w:tab w:val="left" w:pos="1466"/>
        </w:tabs>
        <w:contextualSpacing/>
        <w:rPr>
          <w:rFonts w:ascii="David" w:hAnsi="David" w:cs="David"/>
          <w:rtl/>
        </w:rPr>
      </w:pPr>
    </w:p>
    <w:p w14:paraId="3622C64C" w14:textId="77777777" w:rsidR="00A355EC" w:rsidRPr="00A355EC" w:rsidRDefault="00A355EC" w:rsidP="00A355EC">
      <w:pPr>
        <w:contextualSpacing/>
        <w:rPr>
          <w:rFonts w:ascii="Arial" w:hAnsi="Arial" w:cs="David"/>
          <w:b/>
          <w:bCs/>
          <w:noProof/>
          <w:color w:val="0070C0"/>
          <w:sz w:val="32"/>
          <w:szCs w:val="32"/>
          <w:rtl/>
          <w:lang w:eastAsia="he-IL"/>
        </w:rPr>
      </w:pPr>
      <w:r w:rsidRPr="00A355EC">
        <w:rPr>
          <w:rFonts w:ascii="Arial" w:hAnsi="Arial" w:cs="David" w:hint="cs"/>
          <w:b/>
          <w:bCs/>
          <w:noProof/>
          <w:color w:val="0070C0"/>
          <w:sz w:val="32"/>
          <w:szCs w:val="32"/>
          <w:rtl/>
          <w:lang w:eastAsia="he-IL"/>
        </w:rPr>
        <w:t>רבי שמעון המירוני שהיה בירושלים</w:t>
      </w:r>
    </w:p>
    <w:p w14:paraId="6F1E259A" w14:textId="77777777" w:rsidR="00A355EC" w:rsidRPr="00A355EC" w:rsidRDefault="00A355EC" w:rsidP="00A355EC">
      <w:pPr>
        <w:tabs>
          <w:tab w:val="left" w:pos="1466"/>
        </w:tabs>
        <w:contextualSpacing/>
        <w:rPr>
          <w:rFonts w:ascii="David" w:hAnsi="David" w:cs="David"/>
          <w:rtl/>
        </w:rPr>
      </w:pPr>
      <w:bookmarkStart w:id="10" w:name="תוכן"/>
      <w:bookmarkEnd w:id="10"/>
    </w:p>
    <w:p w14:paraId="72957689"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במסכת בבא </w:t>
      </w:r>
      <w:proofErr w:type="spellStart"/>
      <w:r w:rsidRPr="00A355EC">
        <w:rPr>
          <w:rFonts w:ascii="David" w:hAnsi="David" w:cs="David" w:hint="cs"/>
          <w:rtl/>
        </w:rPr>
        <w:t>בתרא</w:t>
      </w:r>
      <w:proofErr w:type="spellEnd"/>
      <w:r w:rsidRPr="00A355EC">
        <w:rPr>
          <w:rFonts w:ascii="David" w:hAnsi="David" w:cs="David" w:hint="cs"/>
          <w:rtl/>
        </w:rPr>
        <w:t xml:space="preserve"> (דף קנו) מובאות משנה </w:t>
      </w:r>
      <w:proofErr w:type="spellStart"/>
      <w:r w:rsidRPr="00A355EC">
        <w:rPr>
          <w:rFonts w:ascii="David" w:hAnsi="David" w:cs="David" w:hint="cs"/>
          <w:rtl/>
        </w:rPr>
        <w:t>וברייתא</w:t>
      </w:r>
      <w:proofErr w:type="spellEnd"/>
      <w:r w:rsidRPr="00A355EC">
        <w:rPr>
          <w:rFonts w:ascii="David" w:hAnsi="David" w:cs="David" w:hint="cs"/>
          <w:rtl/>
        </w:rPr>
        <w:t xml:space="preserve"> שעוסקות באופן שיכול אדם להקנות דברים למישהו שלא נמצא בסמוך אליו. ונידונת שם השאלה האם יש תקנה מיוחדת במקרה שנותן המתנה הוא חולה על ערש דווי ורוצה שהמתנות יחולו לאחר מותו.</w:t>
      </w:r>
    </w:p>
    <w:p w14:paraId="6AF14DB1"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לדעת </w:t>
      </w:r>
      <w:r w:rsidRPr="00A355EC">
        <w:rPr>
          <w:rFonts w:ascii="David" w:hAnsi="David" w:cs="David"/>
          <w:rtl/>
        </w:rPr>
        <w:t xml:space="preserve">רבי אליעזר </w:t>
      </w:r>
      <w:r w:rsidRPr="00A355EC">
        <w:rPr>
          <w:rFonts w:ascii="David" w:hAnsi="David" w:cs="David" w:hint="cs"/>
          <w:rtl/>
        </w:rPr>
        <w:t xml:space="preserve">אין להקל, ולכן גם </w:t>
      </w:r>
      <w:r w:rsidRPr="00A355EC">
        <w:rPr>
          <w:rFonts w:ascii="David" w:hAnsi="David" w:cs="David"/>
          <w:rtl/>
        </w:rPr>
        <w:t xml:space="preserve">חולה </w:t>
      </w:r>
      <w:r w:rsidRPr="00A355EC">
        <w:rPr>
          <w:rFonts w:ascii="David" w:hAnsi="David" w:cs="David" w:hint="cs"/>
          <w:rtl/>
        </w:rPr>
        <w:t>המוטל במיטתו</w:t>
      </w:r>
      <w:r w:rsidRPr="00A355EC">
        <w:rPr>
          <w:rFonts w:ascii="David" w:hAnsi="David" w:cs="David"/>
          <w:rtl/>
        </w:rPr>
        <w:t xml:space="preserve"> </w:t>
      </w:r>
      <w:r w:rsidRPr="00A355EC">
        <w:rPr>
          <w:rFonts w:ascii="David" w:hAnsi="David" w:cs="David" w:hint="cs"/>
          <w:rtl/>
        </w:rPr>
        <w:t>('שכיב מרע') ש</w:t>
      </w:r>
      <w:r w:rsidRPr="00A355EC">
        <w:rPr>
          <w:rFonts w:ascii="David" w:hAnsi="David" w:cs="David"/>
          <w:rtl/>
        </w:rPr>
        <w:t xml:space="preserve">רוצה </w:t>
      </w:r>
      <w:r w:rsidRPr="00A355EC">
        <w:rPr>
          <w:rFonts w:ascii="David" w:hAnsi="David" w:cs="David" w:hint="cs"/>
          <w:rtl/>
        </w:rPr>
        <w:t>לתת</w:t>
      </w:r>
      <w:r w:rsidRPr="00A355EC">
        <w:rPr>
          <w:rFonts w:ascii="David" w:hAnsi="David" w:cs="David"/>
          <w:rtl/>
        </w:rPr>
        <w:t xml:space="preserve"> את רכושו</w:t>
      </w:r>
      <w:r w:rsidRPr="00A355EC">
        <w:rPr>
          <w:rFonts w:ascii="David" w:hAnsi="David" w:cs="David" w:hint="cs"/>
          <w:rtl/>
        </w:rPr>
        <w:t xml:space="preserve"> לאחרים, ואפילו אומר במפורש שהוא מצווה זאת מחמת שהוא חושב שימות ('מצווה מחמת מיתה'), </w:t>
      </w:r>
      <w:r w:rsidRPr="00A355EC">
        <w:rPr>
          <w:rFonts w:ascii="David" w:hAnsi="David" w:cs="David"/>
          <w:rtl/>
        </w:rPr>
        <w:t>צריך להקנות את רכושו בדרכי הקנין הרגילות</w:t>
      </w:r>
      <w:r w:rsidRPr="00A355EC">
        <w:rPr>
          <w:rFonts w:ascii="David" w:hAnsi="David" w:cs="David" w:hint="cs"/>
          <w:rtl/>
        </w:rPr>
        <w:t xml:space="preserve"> כמו אדם בריא</w:t>
      </w:r>
      <w:r w:rsidRPr="00A355EC">
        <w:rPr>
          <w:rFonts w:ascii="David" w:hAnsi="David" w:cs="David"/>
          <w:rtl/>
        </w:rPr>
        <w:t xml:space="preserve">. ואילו לדעת חכמים יש </w:t>
      </w:r>
      <w:r w:rsidRPr="00A355EC">
        <w:rPr>
          <w:rFonts w:ascii="David" w:hAnsi="David" w:cs="David" w:hint="cs"/>
          <w:rtl/>
        </w:rPr>
        <w:t>תקנה מיוחדת, ו</w:t>
      </w:r>
      <w:r w:rsidRPr="00A355EC">
        <w:rPr>
          <w:rFonts w:ascii="David" w:hAnsi="David" w:cs="David"/>
          <w:rtl/>
        </w:rPr>
        <w:t>חולה</w:t>
      </w:r>
      <w:r w:rsidRPr="00A355EC">
        <w:rPr>
          <w:rFonts w:ascii="David" w:hAnsi="David" w:cs="David" w:hint="cs"/>
          <w:rtl/>
        </w:rPr>
        <w:t xml:space="preserve"> שחושש שימות</w:t>
      </w:r>
      <w:r w:rsidRPr="00A355EC">
        <w:rPr>
          <w:rFonts w:ascii="David" w:hAnsi="David" w:cs="David"/>
          <w:rtl/>
        </w:rPr>
        <w:t xml:space="preserve"> יכול לחלק את רכושו באמירת פיו בלבד. </w:t>
      </w:r>
      <w:r w:rsidRPr="00A355EC">
        <w:rPr>
          <w:rFonts w:ascii="David" w:hAnsi="David" w:cs="David" w:hint="cs"/>
          <w:rtl/>
        </w:rPr>
        <w:t>במשנה מובא ש</w:t>
      </w:r>
      <w:r w:rsidRPr="00A355EC">
        <w:rPr>
          <w:rFonts w:ascii="David" w:hAnsi="David" w:cs="David"/>
          <w:rtl/>
        </w:rPr>
        <w:t xml:space="preserve">חכמים רצו להוכיח את שיטתם ממעשה שאירע בעבר, וזו לשון </w:t>
      </w:r>
      <w:r w:rsidRPr="00A355EC">
        <w:rPr>
          <w:rFonts w:ascii="David" w:hAnsi="David" w:cs="David" w:hint="cs"/>
          <w:rtl/>
        </w:rPr>
        <w:t>המשנה (בתוספת באור)</w:t>
      </w:r>
      <w:r w:rsidRPr="00A355EC">
        <w:rPr>
          <w:rFonts w:ascii="David" w:hAnsi="David" w:cs="David"/>
          <w:rtl/>
        </w:rPr>
        <w:t>:</w:t>
      </w:r>
    </w:p>
    <w:p w14:paraId="463E7D1B" w14:textId="77777777" w:rsidR="00A355EC" w:rsidRPr="00A355EC" w:rsidRDefault="00A355EC" w:rsidP="00A355EC">
      <w:pPr>
        <w:ind w:left="284"/>
        <w:contextualSpacing/>
        <w:rPr>
          <w:rFonts w:cs="Guttman Keren"/>
          <w:sz w:val="22"/>
          <w:szCs w:val="22"/>
          <w:rtl/>
        </w:rPr>
      </w:pPr>
      <w:r w:rsidRPr="00A355EC">
        <w:rPr>
          <w:rFonts w:cs="Guttman Keren"/>
          <w:sz w:val="22"/>
          <w:szCs w:val="22"/>
          <w:rtl/>
        </w:rPr>
        <w:t>"</w:t>
      </w:r>
      <w:r w:rsidRPr="00A355EC">
        <w:rPr>
          <w:rFonts w:cs="Guttman Keren" w:hint="cs"/>
          <w:b/>
          <w:bCs/>
          <w:sz w:val="22"/>
          <w:szCs w:val="22"/>
          <w:rtl/>
        </w:rPr>
        <w:t>...</w:t>
      </w:r>
      <w:r w:rsidRPr="00A355EC">
        <w:rPr>
          <w:rFonts w:cs="Guttman Keren"/>
          <w:sz w:val="22"/>
          <w:szCs w:val="22"/>
          <w:rtl/>
        </w:rPr>
        <w:t xml:space="preserve">אמרו לו: מעשה בְאִמָּן (הָאֵם) של בני רוֹכֵל </w:t>
      </w:r>
      <w:r w:rsidRPr="00A355EC">
        <w:rPr>
          <w:rFonts w:cs="Guttman Keren" w:hint="cs"/>
          <w:sz w:val="22"/>
          <w:szCs w:val="22"/>
          <w:rtl/>
        </w:rPr>
        <w:t>(</w:t>
      </w:r>
      <w:r w:rsidRPr="00A355EC">
        <w:rPr>
          <w:rFonts w:cs="Guttman Keren"/>
          <w:sz w:val="22"/>
          <w:szCs w:val="22"/>
          <w:rtl/>
        </w:rPr>
        <w:t>שהיתה חולה</w:t>
      </w:r>
      <w:r w:rsidRPr="00A355EC">
        <w:rPr>
          <w:rFonts w:cs="Guttman Keren" w:hint="cs"/>
          <w:sz w:val="22"/>
          <w:szCs w:val="22"/>
          <w:rtl/>
        </w:rPr>
        <w:t>)</w:t>
      </w:r>
      <w:r w:rsidRPr="00A355EC">
        <w:rPr>
          <w:rFonts w:cs="Guttman Keren"/>
          <w:sz w:val="22"/>
          <w:szCs w:val="22"/>
          <w:rtl/>
        </w:rPr>
        <w:t>, ואמרה: תנו כְּבִינָתִי (</w:t>
      </w:r>
      <w:r w:rsidRPr="00A355EC">
        <w:rPr>
          <w:rFonts w:cs="Guttman Keren" w:hint="cs"/>
          <w:sz w:val="22"/>
          <w:szCs w:val="22"/>
          <w:rtl/>
        </w:rPr>
        <w:t>תכשיט)</w:t>
      </w:r>
      <w:r w:rsidRPr="00A355EC">
        <w:rPr>
          <w:rFonts w:cs="Guttman Keren"/>
          <w:sz w:val="22"/>
          <w:szCs w:val="22"/>
          <w:rtl/>
        </w:rPr>
        <w:t xml:space="preserve"> לבתי, והיא</w:t>
      </w:r>
      <w:r w:rsidRPr="00A355EC">
        <w:rPr>
          <w:rFonts w:cs="Guttman Keren" w:hint="cs"/>
          <w:sz w:val="22"/>
          <w:szCs w:val="22"/>
          <w:rtl/>
        </w:rPr>
        <w:t xml:space="preserve"> (שווי התכשיט)</w:t>
      </w:r>
      <w:r w:rsidRPr="00A355EC">
        <w:rPr>
          <w:rFonts w:cs="Guttman Keren"/>
          <w:sz w:val="22"/>
          <w:szCs w:val="22"/>
          <w:rtl/>
        </w:rPr>
        <w:t xml:space="preserve"> בשנים עשר מנה, ומתה, וקיימו את דבריה! אמר להן (ר' אליעזר לחכמים): בני רוֹכֵל תקברם אִמָּן</w:t>
      </w:r>
      <w:r w:rsidRPr="00A355EC">
        <w:rPr>
          <w:rFonts w:cs="Guttman Keren" w:hint="cs"/>
          <w:sz w:val="22"/>
          <w:szCs w:val="22"/>
          <w:rtl/>
        </w:rPr>
        <w:t>"</w:t>
      </w:r>
      <w:r w:rsidRPr="00A355EC">
        <w:rPr>
          <w:rFonts w:cs="Guttman Keren"/>
          <w:sz w:val="22"/>
          <w:szCs w:val="22"/>
          <w:rtl/>
        </w:rPr>
        <w:t>.</w:t>
      </w:r>
    </w:p>
    <w:p w14:paraId="66524DBF"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ה'אם' של בני רוכל לא עשתה מעשה קנין שמקנה את התכשיט שלה לבת שלה, ובכל זאת בית הדין לא הרשה לבנים שהיו אמורים לרשת את התכשיט ליטול אותו לעצמם, אלא הורה לבנים לתת אותו ל'בת' ומכאן הוכיחו חכמים שיש תקנה מיוחדת ו'דיבור' של מי ש'מצווה מחמת מיתה' נחשב כמו מעשה קנין, </w:t>
      </w:r>
      <w:proofErr w:type="spellStart"/>
      <w:r w:rsidRPr="00A355EC">
        <w:rPr>
          <w:rFonts w:ascii="David" w:hAnsi="David" w:cs="David" w:hint="cs"/>
          <w:rtl/>
        </w:rPr>
        <w:t>וה'תכשיט</w:t>
      </w:r>
      <w:proofErr w:type="spellEnd"/>
      <w:r w:rsidRPr="00A355EC">
        <w:rPr>
          <w:rFonts w:ascii="David" w:hAnsi="David" w:cs="David" w:hint="cs"/>
          <w:rtl/>
        </w:rPr>
        <w:t>' שייך לבת. מאידך, רבי אליעזר אמר שאין ללמוד הלכה מאותו מקרה, ולא אמר במפורש את הסיבה לכך, אלא הסתפק באמירה: "</w:t>
      </w:r>
      <w:r w:rsidRPr="00A355EC">
        <w:rPr>
          <w:rFonts w:ascii="David" w:hAnsi="David" w:cs="David"/>
          <w:rtl/>
        </w:rPr>
        <w:t>בני רוֹכֵל תקברם אִמָּן</w:t>
      </w:r>
      <w:r w:rsidRPr="00A355EC">
        <w:rPr>
          <w:rFonts w:ascii="David" w:hAnsi="David" w:cs="David" w:hint="cs"/>
          <w:rtl/>
        </w:rPr>
        <w:t>"</w:t>
      </w:r>
      <w:r w:rsidRPr="00A355EC">
        <w:rPr>
          <w:rFonts w:ascii="David" w:hAnsi="David" w:cs="David"/>
          <w:rtl/>
        </w:rPr>
        <w:t>.</w:t>
      </w:r>
    </w:p>
    <w:p w14:paraId="7E7D8986" w14:textId="77777777" w:rsidR="00A355EC" w:rsidRPr="00A355EC" w:rsidRDefault="00A355EC" w:rsidP="00A355EC">
      <w:pPr>
        <w:tabs>
          <w:tab w:val="left" w:pos="1466"/>
        </w:tabs>
        <w:contextualSpacing/>
        <w:rPr>
          <w:rFonts w:ascii="David" w:hAnsi="David" w:cs="David"/>
          <w:rtl/>
        </w:rPr>
      </w:pPr>
    </w:p>
    <w:p w14:paraId="3111E486" w14:textId="77777777" w:rsidR="00A355EC" w:rsidRPr="00A355EC" w:rsidRDefault="00A355EC" w:rsidP="00A355EC">
      <w:pPr>
        <w:tabs>
          <w:tab w:val="left" w:pos="1466"/>
        </w:tabs>
        <w:contextualSpacing/>
        <w:rPr>
          <w:rFonts w:ascii="David" w:hAnsi="David" w:cs="David"/>
          <w:rtl/>
        </w:rPr>
      </w:pPr>
      <w:proofErr w:type="spellStart"/>
      <w:r w:rsidRPr="00A355EC">
        <w:rPr>
          <w:rFonts w:ascii="David" w:hAnsi="David" w:cs="David" w:hint="cs"/>
          <w:rtl/>
        </w:rPr>
        <w:t>בתוספתא</w:t>
      </w:r>
      <w:proofErr w:type="spellEnd"/>
      <w:r w:rsidRPr="00A355EC">
        <w:rPr>
          <w:rFonts w:ascii="David" w:hAnsi="David" w:cs="David" w:hint="cs"/>
          <w:rtl/>
        </w:rPr>
        <w:t xml:space="preserve"> (</w:t>
      </w:r>
      <w:r w:rsidRPr="00A355EC">
        <w:rPr>
          <w:rFonts w:ascii="David" w:hAnsi="David" w:cs="David"/>
          <w:rtl/>
        </w:rPr>
        <w:t xml:space="preserve">בבא </w:t>
      </w:r>
      <w:proofErr w:type="spellStart"/>
      <w:r w:rsidRPr="00A355EC">
        <w:rPr>
          <w:rFonts w:ascii="David" w:hAnsi="David" w:cs="David"/>
          <w:rtl/>
        </w:rPr>
        <w:t>בתרא</w:t>
      </w:r>
      <w:proofErr w:type="spellEnd"/>
      <w:r w:rsidRPr="00A355EC">
        <w:rPr>
          <w:rFonts w:ascii="David" w:hAnsi="David" w:cs="David"/>
          <w:rtl/>
        </w:rPr>
        <w:t xml:space="preserve"> ליברמן </w:t>
      </w:r>
      <w:proofErr w:type="spellStart"/>
      <w:r w:rsidRPr="00A355EC">
        <w:rPr>
          <w:rFonts w:ascii="David" w:hAnsi="David" w:cs="David"/>
          <w:rtl/>
        </w:rPr>
        <w:t>י</w:t>
      </w:r>
      <w:r w:rsidRPr="00A355EC">
        <w:rPr>
          <w:rFonts w:ascii="David" w:hAnsi="David" w:cs="David" w:hint="cs"/>
          <w:rtl/>
        </w:rPr>
        <w:t>,</w:t>
      </w:r>
      <w:r w:rsidRPr="00A355EC">
        <w:rPr>
          <w:rFonts w:ascii="David" w:hAnsi="David" w:cs="David"/>
          <w:rtl/>
        </w:rPr>
        <w:t>יב</w:t>
      </w:r>
      <w:proofErr w:type="spellEnd"/>
      <w:r w:rsidRPr="00A355EC">
        <w:rPr>
          <w:rFonts w:ascii="David" w:hAnsi="David" w:cs="David" w:hint="cs"/>
          <w:rtl/>
        </w:rPr>
        <w:t xml:space="preserve">) מובא מעשה </w:t>
      </w:r>
      <w:proofErr w:type="spellStart"/>
      <w:r w:rsidRPr="00A355EC">
        <w:rPr>
          <w:rFonts w:ascii="David" w:hAnsi="David" w:cs="David" w:hint="cs"/>
          <w:rtl/>
        </w:rPr>
        <w:t>במירוני</w:t>
      </w:r>
      <w:proofErr w:type="spellEnd"/>
      <w:r w:rsidRPr="00A355EC">
        <w:rPr>
          <w:rFonts w:ascii="David" w:hAnsi="David" w:cs="David" w:hint="cs"/>
          <w:rtl/>
        </w:rPr>
        <w:t xml:space="preserve"> שקשור למחלוקת העקרונית זו, והוא מובא גם בתלמוד הבבלי והירושלמי שם, וז"ל המעשה כפי שהוא מובא ב</w:t>
      </w:r>
      <w:r w:rsidRPr="00A355EC">
        <w:rPr>
          <w:rFonts w:ascii="David" w:hAnsi="David" w:cs="David"/>
          <w:rtl/>
        </w:rPr>
        <w:t>תלמוד בבלי</w:t>
      </w:r>
      <w:r w:rsidRPr="00A355EC">
        <w:rPr>
          <w:rFonts w:ascii="David" w:hAnsi="David" w:cs="David" w:hint="cs"/>
          <w:rtl/>
        </w:rPr>
        <w:t>:</w:t>
      </w:r>
    </w:p>
    <w:p w14:paraId="1678B27D" w14:textId="77777777" w:rsidR="00A355EC" w:rsidRPr="00A355EC" w:rsidRDefault="00A355EC" w:rsidP="00A355EC">
      <w:pPr>
        <w:ind w:left="284"/>
        <w:contextualSpacing/>
        <w:rPr>
          <w:rFonts w:cs="Guttman Keren"/>
          <w:sz w:val="22"/>
          <w:szCs w:val="22"/>
          <w:rtl/>
        </w:rPr>
      </w:pPr>
      <w:r w:rsidRPr="00A355EC">
        <w:rPr>
          <w:rFonts w:cs="Guttman Keren" w:hint="cs"/>
          <w:sz w:val="22"/>
          <w:szCs w:val="22"/>
          <w:rtl/>
        </w:rPr>
        <w:t>"</w:t>
      </w:r>
      <w:proofErr w:type="spellStart"/>
      <w:r w:rsidRPr="00A355EC">
        <w:rPr>
          <w:rFonts w:cs="Guttman Keren"/>
          <w:sz w:val="22"/>
          <w:szCs w:val="22"/>
          <w:rtl/>
        </w:rPr>
        <w:t>גמ</w:t>
      </w:r>
      <w:proofErr w:type="spellEnd"/>
      <w:r w:rsidRPr="00A355EC">
        <w:rPr>
          <w:rFonts w:cs="Guttman Keren"/>
          <w:sz w:val="22"/>
          <w:szCs w:val="22"/>
          <w:rtl/>
        </w:rPr>
        <w:t xml:space="preserve">'. תניא, אמר להן רבי אליעזר לחכמים: מעשה במרוני אחד שהיה בירושלים, והיו לו </w:t>
      </w:r>
      <w:proofErr w:type="spellStart"/>
      <w:r w:rsidRPr="00A355EC">
        <w:rPr>
          <w:rFonts w:cs="Guttman Keren"/>
          <w:sz w:val="22"/>
          <w:szCs w:val="22"/>
          <w:rtl/>
        </w:rPr>
        <w:t>מטלטלין</w:t>
      </w:r>
      <w:proofErr w:type="spellEnd"/>
      <w:r w:rsidRPr="00A355EC">
        <w:rPr>
          <w:rFonts w:cs="Guttman Keren"/>
          <w:sz w:val="22"/>
          <w:szCs w:val="22"/>
          <w:rtl/>
        </w:rPr>
        <w:t xml:space="preserve"> הרבה וביקש </w:t>
      </w:r>
      <w:proofErr w:type="spellStart"/>
      <w:r w:rsidRPr="00A355EC">
        <w:rPr>
          <w:rFonts w:cs="Guttman Keren"/>
          <w:sz w:val="22"/>
          <w:szCs w:val="22"/>
          <w:rtl/>
        </w:rPr>
        <w:t>ליתנם</w:t>
      </w:r>
      <w:proofErr w:type="spellEnd"/>
      <w:r w:rsidRPr="00A355EC">
        <w:rPr>
          <w:rFonts w:cs="Guttman Keren"/>
          <w:sz w:val="22"/>
          <w:szCs w:val="22"/>
          <w:rtl/>
        </w:rPr>
        <w:t xml:space="preserve"> במתנה, אמרו לו: אין להם תקנה עד שיַקְנֶה על גב קרקע. הלך ולקח בית סלע אחד סמוך לירושלים, ואמר: צפונו לפלוני ועמו מאה צאן ומאה חביות, ודרומו לפלוני ועמו מאה צאן ומאה חביות, ומת, וקיימו חכמים את דבריו! אמרו לו: משם ראיה? מרוני בריא היה.</w:t>
      </w:r>
      <w:r w:rsidRPr="00A355EC">
        <w:rPr>
          <w:rFonts w:cs="Guttman Keren" w:hint="cs"/>
          <w:sz w:val="22"/>
          <w:szCs w:val="22"/>
          <w:rtl/>
        </w:rPr>
        <w:t>"</w:t>
      </w:r>
    </w:p>
    <w:p w14:paraId="2F6415AA"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המהלך </w:t>
      </w:r>
      <w:proofErr w:type="spellStart"/>
      <w:r w:rsidRPr="00A355EC">
        <w:rPr>
          <w:rFonts w:ascii="David" w:hAnsi="David" w:cs="David" w:hint="cs"/>
          <w:rtl/>
        </w:rPr>
        <w:t>שבתוספתא</w:t>
      </w:r>
      <w:proofErr w:type="spellEnd"/>
      <w:r w:rsidRPr="00A355EC">
        <w:rPr>
          <w:rFonts w:ascii="David" w:hAnsi="David" w:cs="David" w:hint="cs"/>
          <w:rtl/>
        </w:rPr>
        <w:t xml:space="preserve"> </w:t>
      </w:r>
      <w:proofErr w:type="spellStart"/>
      <w:r w:rsidRPr="00A355EC">
        <w:rPr>
          <w:rFonts w:ascii="David" w:hAnsi="David" w:cs="David" w:hint="cs"/>
          <w:rtl/>
        </w:rPr>
        <w:t>ושבברייתא</w:t>
      </w:r>
      <w:proofErr w:type="spellEnd"/>
      <w:r w:rsidRPr="00A355EC">
        <w:rPr>
          <w:rFonts w:ascii="David" w:hAnsi="David" w:cs="David" w:hint="cs"/>
          <w:rtl/>
        </w:rPr>
        <w:t xml:space="preserve"> דומה למהלך שבמשנה. במשנה חכמים מנסים להוכיח את דעתם ממעשה שארע בעבר ב'בני רוכל', ואילו רבי אליעזר מתנגד ואומר שאי אפשר ללמוד משם. ובדומה אך באופן הפוך, חולקים </w:t>
      </w:r>
      <w:proofErr w:type="spellStart"/>
      <w:r w:rsidRPr="00A355EC">
        <w:rPr>
          <w:rFonts w:ascii="David" w:hAnsi="David" w:cs="David" w:hint="cs"/>
          <w:rtl/>
        </w:rPr>
        <w:t>בברייתא</w:t>
      </w:r>
      <w:proofErr w:type="spellEnd"/>
      <w:r w:rsidRPr="00A355EC">
        <w:rPr>
          <w:rFonts w:ascii="David" w:hAnsi="David" w:cs="David" w:hint="cs"/>
          <w:rtl/>
        </w:rPr>
        <w:t xml:space="preserve"> רבי אליעזר וחכמים האם ניתן ללמוד הלכה מהמעשה שארע בעבר </w:t>
      </w:r>
      <w:proofErr w:type="spellStart"/>
      <w:r w:rsidRPr="00A355EC">
        <w:rPr>
          <w:rFonts w:ascii="David" w:hAnsi="David" w:cs="David" w:hint="cs"/>
          <w:rtl/>
        </w:rPr>
        <w:t>ב'מירוני</w:t>
      </w:r>
      <w:proofErr w:type="spellEnd"/>
      <w:r w:rsidRPr="00A355EC">
        <w:rPr>
          <w:rFonts w:ascii="David" w:hAnsi="David" w:cs="David" w:hint="cs"/>
          <w:rtl/>
        </w:rPr>
        <w:t xml:space="preserve">'. </w:t>
      </w:r>
      <w:proofErr w:type="spellStart"/>
      <w:r w:rsidRPr="00A355EC">
        <w:rPr>
          <w:rFonts w:ascii="David" w:hAnsi="David" w:cs="David" w:hint="cs"/>
          <w:rtl/>
        </w:rPr>
        <w:t>בברייתא</w:t>
      </w:r>
      <w:proofErr w:type="spellEnd"/>
      <w:r w:rsidRPr="00A355EC">
        <w:rPr>
          <w:rFonts w:ascii="David" w:hAnsi="David" w:cs="David" w:hint="cs"/>
          <w:rtl/>
        </w:rPr>
        <w:t xml:space="preserve"> טוען רבי אליעזר שהמירוני נותן המתנות היה חולה, ולמרות זאת הוא נאלץ להקנות בדרך קנין רגילה שאנשים בריאים מקנים בה, ואילו חכמים חולקים וטוענים שהיה בריא ולכן נאלץ להקנות כך, אך אילו היה חולה היה יכול להקנות באמירת פיו.</w:t>
      </w:r>
    </w:p>
    <w:p w14:paraId="2D9FF3B3"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דרכו של </w:t>
      </w:r>
      <w:proofErr w:type="spellStart"/>
      <w:r w:rsidRPr="00A355EC">
        <w:rPr>
          <w:rFonts w:ascii="David" w:hAnsi="David" w:cs="David" w:hint="cs"/>
          <w:rtl/>
        </w:rPr>
        <w:t>הרי"ף</w:t>
      </w:r>
      <w:proofErr w:type="spellEnd"/>
      <w:r w:rsidRPr="00A355EC">
        <w:rPr>
          <w:rFonts w:ascii="David" w:hAnsi="David" w:cs="David" w:hint="cs"/>
          <w:rtl/>
        </w:rPr>
        <w:t xml:space="preserve"> לקצר בהבאת סוגיות התלמוד והוא מביא בהלכותיו רק דברים שניתן ללמוד מהם הלכה למעשה, ופלא שהביא </w:t>
      </w:r>
      <w:proofErr w:type="spellStart"/>
      <w:r w:rsidRPr="00A355EC">
        <w:rPr>
          <w:rFonts w:ascii="David" w:hAnsi="David" w:cs="David" w:hint="cs"/>
          <w:rtl/>
        </w:rPr>
        <w:t>הרי"ף</w:t>
      </w:r>
      <w:proofErr w:type="spellEnd"/>
      <w:r w:rsidRPr="00A355EC">
        <w:rPr>
          <w:rFonts w:ascii="David" w:hAnsi="David" w:cs="David" w:hint="cs"/>
          <w:rtl/>
        </w:rPr>
        <w:t xml:space="preserve"> בהלכותיו במסכת בבא </w:t>
      </w:r>
      <w:proofErr w:type="spellStart"/>
      <w:r w:rsidRPr="00A355EC">
        <w:rPr>
          <w:rFonts w:ascii="David" w:hAnsi="David" w:cs="David" w:hint="cs"/>
          <w:rtl/>
        </w:rPr>
        <w:t>בתרא</w:t>
      </w:r>
      <w:proofErr w:type="spellEnd"/>
      <w:r w:rsidRPr="00A355EC">
        <w:rPr>
          <w:rFonts w:ascii="David" w:hAnsi="David" w:cs="David" w:hint="cs"/>
          <w:rtl/>
        </w:rPr>
        <w:t xml:space="preserve"> את </w:t>
      </w:r>
      <w:proofErr w:type="spellStart"/>
      <w:r w:rsidRPr="00A355EC">
        <w:rPr>
          <w:rFonts w:ascii="David" w:hAnsi="David" w:cs="David" w:hint="cs"/>
          <w:rtl/>
        </w:rPr>
        <w:t>הברייתא</w:t>
      </w:r>
      <w:proofErr w:type="spellEnd"/>
      <w:r w:rsidRPr="00A355EC">
        <w:rPr>
          <w:rFonts w:ascii="David" w:hAnsi="David" w:cs="David" w:hint="cs"/>
          <w:rtl/>
        </w:rPr>
        <w:t xml:space="preserve"> במעשה הזה </w:t>
      </w:r>
      <w:proofErr w:type="spellStart"/>
      <w:r w:rsidRPr="00A355EC">
        <w:rPr>
          <w:rFonts w:ascii="David" w:hAnsi="David" w:cs="David" w:hint="cs"/>
          <w:rtl/>
        </w:rPr>
        <w:t>במירוני</w:t>
      </w:r>
      <w:proofErr w:type="spellEnd"/>
      <w:r w:rsidRPr="00A355EC">
        <w:rPr>
          <w:rFonts w:ascii="David" w:hAnsi="David" w:cs="David" w:hint="cs"/>
          <w:rtl/>
        </w:rPr>
        <w:t xml:space="preserve"> שהיה בירושלים. וצריך להתעמק מדוע עשה כך, והרי לכאורה אין 'הלכה למעשה' שניתן ללמוד מאותו מעשה1.</w:t>
      </w:r>
    </w:p>
    <w:p w14:paraId="6C54E4CE" w14:textId="77777777" w:rsidR="00A355EC" w:rsidRPr="00A355EC" w:rsidRDefault="00A355EC" w:rsidP="00A355EC">
      <w:pPr>
        <w:tabs>
          <w:tab w:val="left" w:pos="1466"/>
        </w:tabs>
        <w:contextualSpacing/>
        <w:rPr>
          <w:rFonts w:ascii="David" w:hAnsi="David" w:cs="David"/>
          <w:rtl/>
        </w:rPr>
      </w:pPr>
    </w:p>
    <w:p w14:paraId="0FDA9751"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הפרטים המיותרים במעשים שמספרים חז"ל</w:t>
      </w:r>
    </w:p>
    <w:p w14:paraId="4FEBC83B"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כאשר מתעמקים במעשה </w:t>
      </w:r>
      <w:proofErr w:type="spellStart"/>
      <w:r w:rsidRPr="00A355EC">
        <w:rPr>
          <w:rFonts w:ascii="David" w:hAnsi="David" w:cs="David" w:hint="cs"/>
          <w:rtl/>
        </w:rPr>
        <w:t>שב'מירוני</w:t>
      </w:r>
      <w:proofErr w:type="spellEnd"/>
      <w:r w:rsidRPr="00A355EC">
        <w:rPr>
          <w:rFonts w:ascii="David" w:hAnsi="David" w:cs="David" w:hint="cs"/>
          <w:rtl/>
        </w:rPr>
        <w:t xml:space="preserve">' </w:t>
      </w:r>
      <w:r w:rsidRPr="00A355EC">
        <w:rPr>
          <w:rFonts w:ascii="David" w:hAnsi="David" w:cs="David"/>
          <w:rtl/>
        </w:rPr>
        <w:t>–</w:t>
      </w:r>
      <w:r w:rsidRPr="00A355EC">
        <w:rPr>
          <w:rFonts w:ascii="David" w:hAnsi="David" w:cs="David" w:hint="cs"/>
          <w:rtl/>
        </w:rPr>
        <w:t xml:space="preserve"> מתבקש שהמעשה אומר 'דרשני'. דרכם של חז"ל לקצר בהבאת פרטים מיותרים, ומדוע מסופר </w:t>
      </w:r>
      <w:proofErr w:type="spellStart"/>
      <w:r w:rsidRPr="00A355EC">
        <w:rPr>
          <w:rFonts w:ascii="David" w:hAnsi="David" w:cs="David" w:hint="cs"/>
          <w:rtl/>
        </w:rPr>
        <w:t>בתוספתא</w:t>
      </w:r>
      <w:proofErr w:type="spellEnd"/>
      <w:r w:rsidRPr="00A355EC">
        <w:rPr>
          <w:rFonts w:ascii="David" w:hAnsi="David" w:cs="David" w:hint="cs"/>
          <w:rtl/>
        </w:rPr>
        <w:t xml:space="preserve"> </w:t>
      </w:r>
      <w:proofErr w:type="spellStart"/>
      <w:r w:rsidRPr="00A355EC">
        <w:rPr>
          <w:rFonts w:ascii="David" w:hAnsi="David" w:cs="David" w:hint="cs"/>
          <w:rtl/>
        </w:rPr>
        <w:t>ובברייתא</w:t>
      </w:r>
      <w:proofErr w:type="spellEnd"/>
      <w:r w:rsidRPr="00A355EC">
        <w:rPr>
          <w:rFonts w:ascii="David" w:hAnsi="David" w:cs="David" w:hint="cs"/>
          <w:rtl/>
        </w:rPr>
        <w:t xml:space="preserve"> שאותו אדם היה '</w:t>
      </w:r>
      <w:proofErr w:type="spellStart"/>
      <w:r w:rsidRPr="00A355EC">
        <w:rPr>
          <w:rFonts w:ascii="David" w:hAnsi="David" w:cs="David" w:hint="cs"/>
          <w:rtl/>
        </w:rPr>
        <w:t>מירוני</w:t>
      </w:r>
      <w:proofErr w:type="spellEnd"/>
      <w:r w:rsidRPr="00A355EC">
        <w:rPr>
          <w:rFonts w:ascii="David" w:hAnsi="David" w:cs="David" w:hint="cs"/>
          <w:rtl/>
        </w:rPr>
        <w:t xml:space="preserve">' ושהוא היה ב'ירושלים'. ואף קושיות נוספות עולות על מעשה זה </w:t>
      </w:r>
      <w:proofErr w:type="spellStart"/>
      <w:r w:rsidRPr="00A355EC">
        <w:rPr>
          <w:rFonts w:ascii="David" w:hAnsi="David" w:cs="David" w:hint="cs"/>
          <w:rtl/>
        </w:rPr>
        <w:t>וכדלקמן</w:t>
      </w:r>
      <w:proofErr w:type="spellEnd"/>
      <w:r w:rsidRPr="00A355EC">
        <w:rPr>
          <w:rFonts w:ascii="David" w:hAnsi="David" w:cs="David" w:hint="cs"/>
          <w:rtl/>
        </w:rPr>
        <w:t>.</w:t>
      </w:r>
    </w:p>
    <w:p w14:paraId="236D560E"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במסכת קידושין דנה </w:t>
      </w:r>
      <w:proofErr w:type="spellStart"/>
      <w:r w:rsidRPr="00A355EC">
        <w:rPr>
          <w:rFonts w:ascii="David" w:hAnsi="David" w:cs="David" w:hint="cs"/>
          <w:rtl/>
        </w:rPr>
        <w:t>הסוגיה</w:t>
      </w:r>
      <w:proofErr w:type="spellEnd"/>
      <w:r w:rsidRPr="00A355EC">
        <w:rPr>
          <w:rFonts w:ascii="David" w:hAnsi="David" w:cs="David" w:hint="cs"/>
          <w:rtl/>
        </w:rPr>
        <w:t xml:space="preserve"> ודנו המפרשים בשאלה, מדוע נאלץ המירוני הזה לקנות קרקע מחוץ לירושלים ואחר כך באמצעות </w:t>
      </w:r>
      <w:proofErr w:type="spellStart"/>
      <w:r w:rsidRPr="00A355EC">
        <w:rPr>
          <w:rFonts w:ascii="David" w:hAnsi="David" w:cs="David" w:hint="cs"/>
          <w:rtl/>
        </w:rPr>
        <w:t>הקנאת</w:t>
      </w:r>
      <w:proofErr w:type="spellEnd"/>
      <w:r w:rsidRPr="00A355EC">
        <w:rPr>
          <w:rFonts w:ascii="David" w:hAnsi="David" w:cs="David" w:hint="cs"/>
          <w:rtl/>
        </w:rPr>
        <w:t xml:space="preserve"> חלק מהקרקע הוא הצליח להקנות את המתנות שלו. ומדוע לא הקנה את המתנות בקניינים קלים שניתן לעשותם בתוך </w:t>
      </w:r>
      <w:r w:rsidRPr="00A355EC">
        <w:rPr>
          <w:rFonts w:ascii="David" w:hAnsi="David" w:cs="David" w:hint="cs"/>
          <w:rtl/>
        </w:rPr>
        <w:lastRenderedPageBreak/>
        <w:t xml:space="preserve">ירושלים, כמו 'קנין חליפין'. </w:t>
      </w:r>
      <w:proofErr w:type="spellStart"/>
      <w:r w:rsidRPr="00A355EC">
        <w:rPr>
          <w:rFonts w:ascii="David" w:hAnsi="David" w:cs="David" w:hint="cs"/>
          <w:rtl/>
        </w:rPr>
        <w:t>בקנין</w:t>
      </w:r>
      <w:proofErr w:type="spellEnd"/>
      <w:r w:rsidRPr="00A355EC">
        <w:rPr>
          <w:rFonts w:ascii="David" w:hAnsi="David" w:cs="David" w:hint="cs"/>
          <w:rtl/>
        </w:rPr>
        <w:t xml:space="preserve"> זה מישהו מוכן להתנדב, והוא נותן 'סודר' (כלי) שלו </w:t>
      </w:r>
      <w:proofErr w:type="spellStart"/>
      <w:r w:rsidRPr="00A355EC">
        <w:rPr>
          <w:rFonts w:ascii="David" w:hAnsi="David" w:cs="David" w:hint="cs"/>
          <w:rtl/>
        </w:rPr>
        <w:t>ל</w:t>
      </w:r>
      <w:r w:rsidRPr="00A355EC">
        <w:rPr>
          <w:rFonts w:ascii="David" w:hAnsi="David" w:cs="David" w:hint="eastAsia"/>
          <w:rtl/>
        </w:rPr>
        <w:t>ַ</w:t>
      </w:r>
      <w:r w:rsidRPr="00A355EC">
        <w:rPr>
          <w:rFonts w:ascii="David" w:hAnsi="David" w:cs="David" w:hint="cs"/>
          <w:rtl/>
        </w:rPr>
        <w:t>'מ</w:t>
      </w:r>
      <w:r w:rsidRPr="00A355EC">
        <w:rPr>
          <w:rFonts w:ascii="David" w:hAnsi="David" w:cs="David" w:hint="eastAsia"/>
          <w:rtl/>
        </w:rPr>
        <w:t>ַּ</w:t>
      </w:r>
      <w:r w:rsidRPr="00A355EC">
        <w:rPr>
          <w:rFonts w:ascii="David" w:hAnsi="David" w:cs="David" w:hint="cs"/>
          <w:rtl/>
        </w:rPr>
        <w:t>ק</w:t>
      </w:r>
      <w:r w:rsidRPr="00A355EC">
        <w:rPr>
          <w:rFonts w:ascii="David" w:hAnsi="David" w:cs="David" w:hint="eastAsia"/>
          <w:rtl/>
        </w:rPr>
        <w:t>ְ</w:t>
      </w:r>
      <w:r w:rsidRPr="00A355EC">
        <w:rPr>
          <w:rFonts w:ascii="David" w:hAnsi="David" w:cs="David" w:hint="cs"/>
          <w:rtl/>
        </w:rPr>
        <w:t>נ</w:t>
      </w:r>
      <w:r w:rsidRPr="00A355EC">
        <w:rPr>
          <w:rFonts w:ascii="David" w:hAnsi="David" w:cs="David" w:hint="eastAsia"/>
          <w:rtl/>
        </w:rPr>
        <w:t>ְֶ</w:t>
      </w:r>
      <w:r w:rsidRPr="00A355EC">
        <w:rPr>
          <w:rFonts w:ascii="David" w:hAnsi="David" w:cs="David" w:hint="cs"/>
          <w:rtl/>
        </w:rPr>
        <w:t>ה</w:t>
      </w:r>
      <w:proofErr w:type="spellEnd"/>
      <w:r w:rsidRPr="00A355EC">
        <w:rPr>
          <w:rFonts w:ascii="David" w:hAnsi="David" w:cs="David" w:hint="cs"/>
          <w:rtl/>
        </w:rPr>
        <w:t xml:space="preserve">' (בעל הרכוש), והמקנה 'קונה' ממנו את ה'סודר' לזמן קצר, ובאופן זה 'זוכה' המתנדב במתנות עבור מקבלי המתנות. רש"י כתב שלא היה בין תושבי ירושלים מישהו שרצה בטובתם של מקבלי המתנות, ולכן לא היה בינם מישהו שהתנדב לתת סודר </w:t>
      </w:r>
      <w:proofErr w:type="spellStart"/>
      <w:r w:rsidRPr="00A355EC">
        <w:rPr>
          <w:rFonts w:ascii="David" w:hAnsi="David" w:cs="David" w:hint="cs"/>
          <w:rtl/>
        </w:rPr>
        <w:t>למירוני</w:t>
      </w:r>
      <w:proofErr w:type="spellEnd"/>
      <w:r w:rsidRPr="00A355EC">
        <w:rPr>
          <w:rFonts w:ascii="David" w:hAnsi="David" w:cs="David" w:hint="cs"/>
          <w:rtl/>
        </w:rPr>
        <w:t xml:space="preserve"> כדי להקנות בכך את המתנות. וצריך להבין, מדוע עינם של כל 'יושבי ירושלים' היתה רעה בטובת מקבלי המתנות?</w:t>
      </w:r>
    </w:p>
    <w:p w14:paraId="348B09AA" w14:textId="77777777" w:rsidR="00A355EC" w:rsidRPr="00A355EC" w:rsidRDefault="00A355EC" w:rsidP="00A355EC">
      <w:pPr>
        <w:tabs>
          <w:tab w:val="left" w:pos="1466"/>
        </w:tabs>
        <w:contextualSpacing/>
        <w:rPr>
          <w:rFonts w:ascii="David" w:hAnsi="David" w:cs="David"/>
          <w:rtl/>
        </w:rPr>
      </w:pPr>
    </w:p>
    <w:p w14:paraId="54FE8989"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ובהמשך </w:t>
      </w:r>
      <w:proofErr w:type="spellStart"/>
      <w:r w:rsidRPr="00A355EC">
        <w:rPr>
          <w:rFonts w:ascii="David" w:hAnsi="David" w:cs="David" w:hint="cs"/>
          <w:rtl/>
        </w:rPr>
        <w:t>הסוגיה</w:t>
      </w:r>
      <w:proofErr w:type="spellEnd"/>
      <w:r w:rsidRPr="00A355EC">
        <w:rPr>
          <w:rFonts w:ascii="David" w:hAnsi="David" w:cs="David" w:hint="cs"/>
          <w:rtl/>
        </w:rPr>
        <w:t xml:space="preserve"> שאלו מדוע לא י</w:t>
      </w:r>
      <w:r w:rsidRPr="00A355EC">
        <w:rPr>
          <w:rFonts w:ascii="David" w:hAnsi="David" w:cs="David" w:hint="eastAsia"/>
          <w:rtl/>
        </w:rPr>
        <w:t>ַ</w:t>
      </w:r>
      <w:r w:rsidRPr="00A355EC">
        <w:rPr>
          <w:rFonts w:ascii="David" w:hAnsi="David" w:cs="David" w:hint="cs"/>
          <w:rtl/>
        </w:rPr>
        <w:t>ק</w:t>
      </w:r>
      <w:r w:rsidRPr="00A355EC">
        <w:rPr>
          <w:rFonts w:ascii="David" w:hAnsi="David" w:cs="David" w:hint="eastAsia"/>
          <w:rtl/>
        </w:rPr>
        <w:t>ְ</w:t>
      </w:r>
      <w:r w:rsidRPr="00A355EC">
        <w:rPr>
          <w:rFonts w:ascii="David" w:hAnsi="David" w:cs="David" w:hint="cs"/>
          <w:rtl/>
        </w:rPr>
        <w:t>נ</w:t>
      </w:r>
      <w:r w:rsidRPr="00A355EC">
        <w:rPr>
          <w:rFonts w:ascii="David" w:hAnsi="David" w:cs="David" w:hint="eastAsia"/>
          <w:rtl/>
        </w:rPr>
        <w:t>ֶ</w:t>
      </w:r>
      <w:r w:rsidRPr="00A355EC">
        <w:rPr>
          <w:rFonts w:ascii="David" w:hAnsi="David" w:cs="David" w:hint="cs"/>
          <w:rtl/>
        </w:rPr>
        <w:t xml:space="preserve">ה המירוני את המתנות, או את הכסף בשווי המתנות, באמצעות קנין 'משיכה'. והיינו שהמירוני יבקש ממישהו מתושבי ירושלים שימשוך או יגביה את </w:t>
      </w:r>
      <w:proofErr w:type="spellStart"/>
      <w:r w:rsidRPr="00A355EC">
        <w:rPr>
          <w:rFonts w:ascii="David" w:hAnsi="David" w:cs="David" w:hint="cs"/>
          <w:rtl/>
        </w:rPr>
        <w:t>המטלטלין</w:t>
      </w:r>
      <w:proofErr w:type="spellEnd"/>
      <w:r w:rsidRPr="00A355EC">
        <w:rPr>
          <w:rFonts w:ascii="David" w:hAnsi="David" w:cs="David" w:hint="cs"/>
          <w:rtl/>
        </w:rPr>
        <w:t xml:space="preserve"> או הכסף ויזכה בכך למקבלי המתנות, והסבירו שהמירוני חשד בתושבי ירושלים, שאם אחד מהם יקבל לידיו את </w:t>
      </w:r>
      <w:proofErr w:type="spellStart"/>
      <w:r w:rsidRPr="00A355EC">
        <w:rPr>
          <w:rFonts w:ascii="David" w:hAnsi="David" w:cs="David" w:hint="cs"/>
          <w:rtl/>
        </w:rPr>
        <w:t>המטלטלין</w:t>
      </w:r>
      <w:proofErr w:type="spellEnd"/>
      <w:r w:rsidRPr="00A355EC">
        <w:rPr>
          <w:rFonts w:ascii="David" w:hAnsi="David" w:cs="David" w:hint="cs"/>
          <w:rtl/>
        </w:rPr>
        <w:t xml:space="preserve"> כדי לזכות אותם למקבלי המתנות, יתפתה אותו ירושלמי </w:t>
      </w:r>
      <w:proofErr w:type="spellStart"/>
      <w:r w:rsidRPr="00A355EC">
        <w:rPr>
          <w:rFonts w:ascii="David" w:hAnsi="David" w:cs="David" w:hint="cs"/>
          <w:rtl/>
        </w:rPr>
        <w:t>ליגזול</w:t>
      </w:r>
      <w:proofErr w:type="spellEnd"/>
      <w:r w:rsidRPr="00A355EC">
        <w:rPr>
          <w:rFonts w:ascii="David" w:hAnsi="David" w:cs="David" w:hint="cs"/>
          <w:rtl/>
        </w:rPr>
        <w:t xml:space="preserve"> אותם לעצמו, ולא ייתן אותם למקבלי המתנות. והרי זה תמוה ביותר, האם פסקו 'בעלי אמנה' מירושלים?! המצב שמתואר במעשה מזכיר לכאורה את דברי הנביא ירמיה </w:t>
      </w:r>
      <w:r w:rsidRPr="00A355EC">
        <w:rPr>
          <w:rFonts w:ascii="David" w:hAnsi="David" w:cs="David"/>
          <w:rtl/>
        </w:rPr>
        <w:t xml:space="preserve">ירמיהו </w:t>
      </w:r>
      <w:r w:rsidRPr="00A355EC">
        <w:rPr>
          <w:rFonts w:ascii="David" w:hAnsi="David" w:cs="David" w:hint="cs"/>
          <w:rtl/>
        </w:rPr>
        <w:t>(</w:t>
      </w:r>
      <w:proofErr w:type="spellStart"/>
      <w:r w:rsidRPr="00A355EC">
        <w:rPr>
          <w:rFonts w:ascii="David" w:hAnsi="David" w:cs="David"/>
          <w:rtl/>
        </w:rPr>
        <w:t>ה</w:t>
      </w:r>
      <w:r w:rsidRPr="00A355EC">
        <w:rPr>
          <w:rFonts w:ascii="David" w:hAnsi="David" w:cs="David" w:hint="cs"/>
          <w:rtl/>
        </w:rPr>
        <w:t>,</w:t>
      </w:r>
      <w:r w:rsidRPr="00A355EC">
        <w:rPr>
          <w:rFonts w:ascii="David" w:hAnsi="David" w:cs="David"/>
          <w:rtl/>
        </w:rPr>
        <w:t>א</w:t>
      </w:r>
      <w:proofErr w:type="spellEnd"/>
      <w:r w:rsidRPr="00A355EC">
        <w:rPr>
          <w:rFonts w:ascii="David" w:hAnsi="David" w:cs="David" w:hint="cs"/>
          <w:rtl/>
        </w:rPr>
        <w:t>): "</w:t>
      </w:r>
      <w:r w:rsidRPr="00A355EC">
        <w:rPr>
          <w:rFonts w:ascii="David" w:hAnsi="David" w:cs="David"/>
          <w:rtl/>
        </w:rPr>
        <w:t>שׁוֹטְטוּ בְּחוּצוֹת יְרוּשָׁלִַם וּרְאוּ נָא וּדְעוּ וּבַקְשׁוּ בִרְחוֹבוֹתֶיהָ אִם תִּמְצְאוּ אִישׁ אִם יֵשׁ עֹשֶׂה מִשְׁפָּט מְבַקֵּשׁ אֱמוּנָה</w:t>
      </w:r>
      <w:r w:rsidRPr="00A355EC">
        <w:rPr>
          <w:rFonts w:ascii="David" w:hAnsi="David" w:cs="David" w:hint="cs"/>
          <w:rtl/>
        </w:rPr>
        <w:t>...". המירוני שוטט בחוצות ירושלים ולא מצא שם 'בעל אמנה' עד שנאלץ לצאת מ'חוץ לירושלים' ורק שם מצא 'בעלי אמנה'.</w:t>
      </w:r>
    </w:p>
    <w:p w14:paraId="43EF3140" w14:textId="77777777" w:rsidR="00A355EC" w:rsidRPr="00A355EC" w:rsidRDefault="00A355EC" w:rsidP="00A355EC">
      <w:pPr>
        <w:tabs>
          <w:tab w:val="left" w:pos="1466"/>
        </w:tabs>
        <w:contextualSpacing/>
        <w:rPr>
          <w:rFonts w:ascii="David" w:hAnsi="David" w:cs="David"/>
          <w:rtl/>
        </w:rPr>
      </w:pPr>
    </w:p>
    <w:p w14:paraId="4A412DFB"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'מחוץ לירושלים' מצא </w:t>
      </w:r>
      <w:proofErr w:type="spellStart"/>
      <w:r w:rsidRPr="00A355EC">
        <w:rPr>
          <w:rFonts w:ascii="David" w:hAnsi="David" w:cs="David" w:hint="cs"/>
          <w:rtl/>
        </w:rPr>
        <w:t>ה'מירוני</w:t>
      </w:r>
      <w:proofErr w:type="spellEnd"/>
      <w:r w:rsidRPr="00A355EC">
        <w:rPr>
          <w:rFonts w:ascii="David" w:hAnsi="David" w:cs="David" w:hint="cs"/>
          <w:rtl/>
        </w:rPr>
        <w:t xml:space="preserve">' 'אנשים טובים' שהסכימו למכור </w:t>
      </w:r>
      <w:proofErr w:type="spellStart"/>
      <w:r w:rsidRPr="00A355EC">
        <w:rPr>
          <w:rFonts w:ascii="David" w:hAnsi="David" w:cs="David" w:hint="cs"/>
          <w:rtl/>
        </w:rPr>
        <w:t>למירוני</w:t>
      </w:r>
      <w:proofErr w:type="spellEnd"/>
      <w:r w:rsidRPr="00A355EC">
        <w:rPr>
          <w:rFonts w:ascii="David" w:hAnsi="David" w:cs="David" w:hint="cs"/>
          <w:rtl/>
        </w:rPr>
        <w:t xml:space="preserve"> קרקע כדי שיוכל באופן זה להקנות את המתנות שלו. ואחר כך אחד מהם הסכים לזכות בחלק מהקרקע ובמתנות עבור מקבלי המתנות, והמירוני לא חשד באותו איש שהיה 'מחוץ לירושלים' שמא יגזול את המתנות לעצמו. כאשר מתעמקים במעשה מתברר שהמירוני נתן אמון באנשים ש'מחוץ לירושלים', אך היה משוכנע ש'יושבי ירושלים' אינם 'בעלי אמנה'. וצריך להבין מדוע?</w:t>
      </w:r>
    </w:p>
    <w:p w14:paraId="418DC5D5" w14:textId="77777777" w:rsidR="00A355EC" w:rsidRPr="00A355EC" w:rsidRDefault="00A355EC" w:rsidP="00A355EC">
      <w:pPr>
        <w:tabs>
          <w:tab w:val="left" w:pos="1466"/>
        </w:tabs>
        <w:contextualSpacing/>
        <w:rPr>
          <w:rFonts w:ascii="David" w:hAnsi="David" w:cs="David"/>
          <w:rtl/>
        </w:rPr>
      </w:pPr>
    </w:p>
    <w:p w14:paraId="76EB5970"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הרמזים של חז"ל</w:t>
      </w:r>
    </w:p>
    <w:p w14:paraId="3DD30E74"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הפרטים שעולים מתוך המעשה </w:t>
      </w:r>
      <w:proofErr w:type="spellStart"/>
      <w:r w:rsidRPr="00A355EC">
        <w:rPr>
          <w:rFonts w:ascii="David" w:hAnsi="David" w:cs="David" w:hint="cs"/>
          <w:rtl/>
        </w:rPr>
        <w:t>ב'מירוני</w:t>
      </w:r>
      <w:proofErr w:type="spellEnd"/>
      <w:r w:rsidRPr="00A355EC">
        <w:rPr>
          <w:rFonts w:ascii="David" w:hAnsi="David" w:cs="David" w:hint="cs"/>
          <w:rtl/>
        </w:rPr>
        <w:t xml:space="preserve"> שהיה בירושלים' הם לכאורה טפלים אך המעשה מאריך ומספרם למרות שחז"ל לימדונו "</w:t>
      </w:r>
      <w:r w:rsidRPr="00A355EC">
        <w:rPr>
          <w:rFonts w:ascii="David" w:hAnsi="David" w:cs="David"/>
          <w:rtl/>
        </w:rPr>
        <w:t>לעולם ישנה אדם לתלמידו דרך קצרה</w:t>
      </w:r>
      <w:r w:rsidRPr="00A355EC">
        <w:rPr>
          <w:rFonts w:ascii="David" w:hAnsi="David" w:cs="David" w:hint="cs"/>
          <w:rtl/>
        </w:rPr>
        <w:t>"</w:t>
      </w:r>
      <w:r w:rsidRPr="00A355EC">
        <w:rPr>
          <w:rFonts w:ascii="David" w:hAnsi="David" w:cs="David"/>
          <w:rtl/>
        </w:rPr>
        <w:t>.</w:t>
      </w:r>
      <w:r w:rsidRPr="00A355EC">
        <w:rPr>
          <w:rFonts w:ascii="David" w:hAnsi="David" w:cs="David" w:hint="cs"/>
          <w:rtl/>
        </w:rPr>
        <w:t xml:space="preserve"> ומכאן שיש להם חשיבות עצמית, והם רמז של חז"ל שהמעשה שבפנינו אינו כפשוטו.</w:t>
      </w:r>
    </w:p>
    <w:p w14:paraId="64DE6037" w14:textId="77777777" w:rsidR="00A355EC" w:rsidRPr="00A355EC" w:rsidRDefault="00A355EC" w:rsidP="00A355EC">
      <w:pPr>
        <w:tabs>
          <w:tab w:val="left" w:pos="1466"/>
        </w:tabs>
        <w:contextualSpacing/>
        <w:rPr>
          <w:rFonts w:ascii="David" w:hAnsi="David" w:cs="David"/>
          <w:rtl/>
        </w:rPr>
      </w:pPr>
    </w:p>
    <w:p w14:paraId="421E0349"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לא רק המעשה </w:t>
      </w:r>
      <w:proofErr w:type="spellStart"/>
      <w:r w:rsidRPr="00A355EC">
        <w:rPr>
          <w:rFonts w:ascii="David" w:hAnsi="David" w:cs="David" w:hint="cs"/>
          <w:rtl/>
        </w:rPr>
        <w:t>ב'מירוני</w:t>
      </w:r>
      <w:proofErr w:type="spellEnd"/>
      <w:r w:rsidRPr="00A355EC">
        <w:rPr>
          <w:rFonts w:ascii="David" w:hAnsi="David" w:cs="David" w:hint="cs"/>
          <w:rtl/>
        </w:rPr>
        <w:t xml:space="preserve">' אינו כפשוטו, גם את המעשה ב'בני רוכל' קשה להבין כפשוטו. בתלמוד הבבלי מסופר שבני רוכל נהגו כשיטת חכמים שאינם מצריכים לעקור קוצים שגדלו מעצמם בכרם, ולדעתם אין בכך איסור 'כלאי הכרם'. ואילו רבי אליעזר מחמיר ואוסר להותיר את הקוצים בכרם, ולכן הוא קילל את 'בני רוכל. והרי לא יתכן להבין כפשוטו שרבי אליעזר קילל אנשים שנהגו להלכה כדעת חכמים שהיא דעת הרוב. </w:t>
      </w:r>
    </w:p>
    <w:p w14:paraId="1470D12D"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במאמר הקודם "בני רוכל והקוצים שבכרם", התברר שבאמצעות המעשה בבני רוכל מרמזים חז"ל לפרשנות שלהם לנבואת זכריה על </w:t>
      </w:r>
      <w:proofErr w:type="spellStart"/>
      <w:r w:rsidRPr="00A355EC">
        <w:rPr>
          <w:rFonts w:ascii="David" w:hAnsi="David" w:cs="David" w:hint="cs"/>
          <w:rtl/>
        </w:rPr>
        <w:t>הנצחון</w:t>
      </w:r>
      <w:proofErr w:type="spellEnd"/>
      <w:r w:rsidRPr="00A355EC">
        <w:rPr>
          <w:rFonts w:ascii="David" w:hAnsi="David" w:cs="David" w:hint="cs"/>
          <w:rtl/>
        </w:rPr>
        <w:t xml:space="preserve"> של ישראל על אויביהם בגאולה העתידה. במדרש (שיר</w:t>
      </w:r>
      <w:r w:rsidRPr="00A355EC">
        <w:rPr>
          <w:rFonts w:ascii="David" w:hAnsi="David" w:cs="David"/>
          <w:rtl/>
        </w:rPr>
        <w:t xml:space="preserve"> השירים </w:t>
      </w:r>
      <w:proofErr w:type="spellStart"/>
      <w:r w:rsidRPr="00A355EC">
        <w:rPr>
          <w:rFonts w:ascii="David" w:hAnsi="David" w:cs="David"/>
          <w:rtl/>
        </w:rPr>
        <w:t>רבה</w:t>
      </w:r>
      <w:r w:rsidRPr="00A355EC">
        <w:rPr>
          <w:rFonts w:ascii="David" w:hAnsi="David" w:cs="David" w:hint="cs"/>
          <w:rtl/>
        </w:rPr>
        <w:t>,</w:t>
      </w:r>
      <w:r w:rsidRPr="00A355EC">
        <w:rPr>
          <w:rFonts w:ascii="David" w:hAnsi="David" w:cs="David"/>
          <w:rtl/>
        </w:rPr>
        <w:t>ג</w:t>
      </w:r>
      <w:r w:rsidRPr="00A355EC">
        <w:rPr>
          <w:rFonts w:ascii="David" w:hAnsi="David" w:cs="David" w:hint="cs"/>
          <w:rtl/>
        </w:rPr>
        <w:t>,ב</w:t>
      </w:r>
      <w:proofErr w:type="spellEnd"/>
      <w:r w:rsidRPr="00A355EC">
        <w:rPr>
          <w:rFonts w:ascii="David" w:hAnsi="David" w:cs="David" w:hint="cs"/>
          <w:rtl/>
        </w:rPr>
        <w:t xml:space="preserve">) מובא </w:t>
      </w:r>
      <w:proofErr w:type="spellStart"/>
      <w:r w:rsidRPr="00A355EC">
        <w:rPr>
          <w:rFonts w:ascii="David" w:hAnsi="David" w:cs="David" w:hint="cs"/>
          <w:rtl/>
        </w:rPr>
        <w:t>ש"</w:t>
      </w:r>
      <w:r w:rsidRPr="00A355EC">
        <w:rPr>
          <w:rFonts w:ascii="David" w:hAnsi="David" w:cs="David"/>
          <w:rtl/>
        </w:rPr>
        <w:t>אַבְקַת</w:t>
      </w:r>
      <w:proofErr w:type="spellEnd"/>
      <w:r w:rsidRPr="00A355EC">
        <w:rPr>
          <w:rFonts w:ascii="David" w:hAnsi="David" w:cs="David"/>
          <w:rtl/>
        </w:rPr>
        <w:t xml:space="preserve"> רוֹכֵל</w:t>
      </w:r>
      <w:r w:rsidRPr="00A355EC">
        <w:rPr>
          <w:rFonts w:ascii="David" w:hAnsi="David" w:cs="David" w:hint="cs"/>
          <w:rtl/>
        </w:rPr>
        <w:t xml:space="preserve">" שמוזכרת במגילת שיר השירים מסמלת את הניצחונות של עם ישראל במלחמות שלהם נגד אויביהם. ונמצא שהמעשה ב"אם </w:t>
      </w:r>
      <w:r w:rsidRPr="00A355EC">
        <w:rPr>
          <w:rFonts w:ascii="David" w:hAnsi="David" w:cs="David"/>
          <w:rtl/>
        </w:rPr>
        <w:t>רוֹכֵל</w:t>
      </w:r>
      <w:r w:rsidRPr="00A355EC">
        <w:rPr>
          <w:rFonts w:ascii="David" w:hAnsi="David" w:cs="David" w:hint="cs"/>
          <w:rtl/>
        </w:rPr>
        <w:t xml:space="preserve">" ו"בבני </w:t>
      </w:r>
      <w:r w:rsidRPr="00A355EC">
        <w:rPr>
          <w:rFonts w:ascii="David" w:hAnsi="David" w:cs="David"/>
          <w:rtl/>
        </w:rPr>
        <w:t>רוֹכֵל</w:t>
      </w:r>
      <w:r w:rsidRPr="00A355EC">
        <w:rPr>
          <w:rFonts w:ascii="David" w:hAnsi="David" w:cs="David" w:hint="cs"/>
          <w:rtl/>
        </w:rPr>
        <w:t>" מרמז לפשר נבואת זכריה.</w:t>
      </w:r>
    </w:p>
    <w:p w14:paraId="47157407"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זכריה מנבא שגם בגאולה העתידה (כאשר רוב הגויים יאמינו בא-ל אחד), עדיין תהיה לעם ישראל מעלה על פני הגויים מפני שעם ישראל עוסק בביאור התורה, ביאור שקשור ל'לב העליון' שקשור ל'ירושלים של מעלה'. וכאשר העמים שסובבים את ארץ ישראל רוצים </w:t>
      </w:r>
      <w:proofErr w:type="spellStart"/>
      <w:r w:rsidRPr="00A355EC">
        <w:rPr>
          <w:rFonts w:ascii="David" w:hAnsi="David" w:cs="David" w:hint="cs"/>
          <w:rtl/>
        </w:rPr>
        <w:t>להלחם</w:t>
      </w:r>
      <w:proofErr w:type="spellEnd"/>
      <w:r w:rsidRPr="00A355EC">
        <w:rPr>
          <w:rFonts w:ascii="David" w:hAnsi="David" w:cs="David" w:hint="cs"/>
          <w:rtl/>
        </w:rPr>
        <w:t xml:space="preserve"> ביהודים ששבו לארצם, מלחמתם היא בעצם על המעמד הרוחני העליון של עם ישראל. בנבואת זכריה (</w:t>
      </w:r>
      <w:proofErr w:type="spellStart"/>
      <w:r w:rsidRPr="00A355EC">
        <w:rPr>
          <w:rFonts w:ascii="David" w:hAnsi="David" w:cs="David"/>
          <w:rtl/>
        </w:rPr>
        <w:t>יב</w:t>
      </w:r>
      <w:r w:rsidRPr="00A355EC">
        <w:rPr>
          <w:rFonts w:ascii="David" w:hAnsi="David" w:cs="David" w:hint="cs"/>
          <w:rtl/>
        </w:rPr>
        <w:t>,</w:t>
      </w:r>
      <w:r w:rsidRPr="00A355EC">
        <w:rPr>
          <w:rFonts w:ascii="David" w:hAnsi="David" w:cs="David"/>
          <w:rtl/>
        </w:rPr>
        <w:t>ב</w:t>
      </w:r>
      <w:proofErr w:type="spellEnd"/>
      <w:r w:rsidRPr="00A355EC">
        <w:rPr>
          <w:rFonts w:ascii="David" w:hAnsi="David" w:cs="David" w:hint="cs"/>
          <w:rtl/>
        </w:rPr>
        <w:t>) נאמר: "</w:t>
      </w:r>
      <w:r w:rsidRPr="00A355EC">
        <w:rPr>
          <w:rFonts w:ascii="David" w:hAnsi="David" w:cs="David"/>
          <w:rtl/>
        </w:rPr>
        <w:t>הִנֵּה אָנֹכִי שָׂם אֶת יְרוּשָׁלִַם סַף רַעַל לְכָל הָעַמִּים סָבִיב וְגַם עַל יְהוּדָה יִהְיֶה בַמָּצוֹר עַל יְרוּשָׁלִָם:</w:t>
      </w:r>
      <w:r w:rsidRPr="00A355EC">
        <w:rPr>
          <w:rFonts w:ascii="David" w:hAnsi="David" w:cs="David" w:hint="cs"/>
          <w:rtl/>
        </w:rPr>
        <w:t>". כלומר, בגאולה העתידה הגויים יילחמו נגד 'ירושלים (של מעלה') וגם אנשים מיהודה יילחמו נגד 'ירושלים (של מעלה').</w:t>
      </w:r>
    </w:p>
    <w:p w14:paraId="1D1111BA"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המלחמה על 'ירושלים' מוזכרת גם בתחילת ספר שופטים. ובמאמר הקודם "</w:t>
      </w:r>
      <w:hyperlink r:id="rId18" w:history="1">
        <w:r w:rsidRPr="00A355EC">
          <w:rPr>
            <w:rFonts w:ascii="David" w:hAnsi="David" w:cs="David" w:hint="cs"/>
            <w:rtl/>
          </w:rPr>
          <w:t xml:space="preserve">מיהו </w:t>
        </w:r>
        <w:proofErr w:type="spellStart"/>
        <w:r w:rsidRPr="00A355EC">
          <w:rPr>
            <w:rFonts w:ascii="David" w:hAnsi="David" w:cs="David" w:hint="cs"/>
            <w:rtl/>
          </w:rPr>
          <w:t>ארמילוס</w:t>
        </w:r>
        <w:proofErr w:type="spellEnd"/>
        <w:r w:rsidRPr="00A355EC">
          <w:rPr>
            <w:rFonts w:ascii="David" w:hAnsi="David" w:cs="David" w:hint="cs"/>
            <w:rtl/>
          </w:rPr>
          <w:t xml:space="preserve"> הרשע</w:t>
        </w:r>
      </w:hyperlink>
      <w:r w:rsidRPr="00A355EC">
        <w:rPr>
          <w:rFonts w:ascii="David" w:hAnsi="David" w:cs="David" w:hint="cs"/>
          <w:rtl/>
        </w:rPr>
        <w:t xml:space="preserve">" התבאר שתרגום יונתן מרמז שם </w:t>
      </w:r>
      <w:proofErr w:type="spellStart"/>
      <w:r w:rsidRPr="00A355EC">
        <w:rPr>
          <w:rFonts w:ascii="David" w:hAnsi="David" w:cs="David" w:hint="cs"/>
          <w:rtl/>
        </w:rPr>
        <w:t>שהנצחון</w:t>
      </w:r>
      <w:proofErr w:type="spellEnd"/>
      <w:r w:rsidRPr="00A355EC">
        <w:rPr>
          <w:rFonts w:ascii="David" w:hAnsi="David" w:cs="David" w:hint="cs"/>
          <w:rtl/>
        </w:rPr>
        <w:t xml:space="preserve"> שמסופר שם, </w:t>
      </w:r>
      <w:proofErr w:type="spellStart"/>
      <w:r w:rsidRPr="00A355EC">
        <w:rPr>
          <w:rFonts w:ascii="David" w:hAnsi="David" w:cs="David" w:hint="cs"/>
          <w:rtl/>
        </w:rPr>
        <w:t>הנצחון</w:t>
      </w:r>
      <w:proofErr w:type="spellEnd"/>
      <w:r w:rsidRPr="00A355EC">
        <w:rPr>
          <w:rFonts w:ascii="David" w:hAnsi="David" w:cs="David" w:hint="cs"/>
          <w:rtl/>
        </w:rPr>
        <w:t xml:space="preserve"> של 'יהודה' ושמעון אחיו על </w:t>
      </w:r>
      <w:r w:rsidRPr="00A355EC">
        <w:rPr>
          <w:rFonts w:ascii="David" w:hAnsi="David" w:cs="David"/>
          <w:rtl/>
        </w:rPr>
        <w:t>אֲדֹנִי בֶזֶק</w:t>
      </w:r>
      <w:r w:rsidRPr="00A355EC">
        <w:rPr>
          <w:rFonts w:ascii="David" w:hAnsi="David" w:cs="David" w:hint="cs"/>
          <w:rtl/>
        </w:rPr>
        <w:t xml:space="preserve"> שתחתיו כנועים שבעים מלכים וכיבוש ירושלים - הוא בעצם חזון נבואי. </w:t>
      </w:r>
      <w:proofErr w:type="spellStart"/>
      <w:r w:rsidRPr="00A355EC">
        <w:rPr>
          <w:rFonts w:ascii="David" w:hAnsi="David" w:cs="David" w:hint="cs"/>
          <w:rtl/>
        </w:rPr>
        <w:t>בז"ק</w:t>
      </w:r>
      <w:proofErr w:type="spellEnd"/>
      <w:r w:rsidRPr="00A355EC">
        <w:rPr>
          <w:rFonts w:ascii="David" w:hAnsi="David" w:cs="David" w:hint="cs"/>
          <w:rtl/>
        </w:rPr>
        <w:t xml:space="preserve"> בעברית משמעותו גם ניפוץ ופיזור, כמו במשנה (</w:t>
      </w:r>
      <w:r w:rsidRPr="00A355EC">
        <w:rPr>
          <w:rFonts w:ascii="David" w:hAnsi="David" w:cs="David"/>
          <w:rtl/>
        </w:rPr>
        <w:t xml:space="preserve">עירובין </w:t>
      </w:r>
      <w:r w:rsidRPr="00A355EC">
        <w:rPr>
          <w:rFonts w:ascii="David" w:hAnsi="David" w:cs="David" w:hint="cs"/>
          <w:rtl/>
        </w:rPr>
        <w:t>פ"</w:t>
      </w:r>
      <w:r w:rsidRPr="00A355EC">
        <w:rPr>
          <w:rFonts w:ascii="David" w:hAnsi="David" w:cs="David"/>
          <w:rtl/>
        </w:rPr>
        <w:t xml:space="preserve">י </w:t>
      </w:r>
      <w:r w:rsidRPr="00A355EC">
        <w:rPr>
          <w:rFonts w:ascii="David" w:hAnsi="David" w:cs="David" w:hint="cs"/>
          <w:rtl/>
        </w:rPr>
        <w:t>מי"ד): "</w:t>
      </w:r>
      <w:proofErr w:type="spellStart"/>
      <w:r w:rsidRPr="00A355EC">
        <w:rPr>
          <w:rFonts w:ascii="David" w:hAnsi="David" w:cs="David"/>
          <w:rtl/>
        </w:rPr>
        <w:t>בוזקין</w:t>
      </w:r>
      <w:proofErr w:type="spellEnd"/>
      <w:r w:rsidRPr="00A355EC">
        <w:rPr>
          <w:rFonts w:ascii="David" w:hAnsi="David" w:cs="David"/>
          <w:rtl/>
        </w:rPr>
        <w:t xml:space="preserve"> מלח</w:t>
      </w:r>
      <w:r w:rsidRPr="00A355EC">
        <w:rPr>
          <w:rFonts w:ascii="David" w:hAnsi="David" w:cs="David" w:hint="cs"/>
          <w:rtl/>
        </w:rPr>
        <w:t xml:space="preserve">". </w:t>
      </w:r>
      <w:r w:rsidRPr="00A355EC">
        <w:rPr>
          <w:rFonts w:ascii="David" w:hAnsi="David" w:cs="David"/>
          <w:rtl/>
        </w:rPr>
        <w:t>אֲדֹנִי בֶזֶק</w:t>
      </w:r>
      <w:r w:rsidRPr="00A355EC">
        <w:rPr>
          <w:rFonts w:ascii="David" w:hAnsi="David" w:cs="David" w:hint="cs"/>
          <w:rtl/>
        </w:rPr>
        <w:t xml:space="preserve"> הוא דמות סמלית שמולכת על הגויים שמפוזרים בעולם שהם שבעים עמים. יש קרב רוחני בין עם ישראל לבין שבעים בני נוח מי יזכה להיות האדם העליון שיהיה בבית של ד' שבשמים. ו'יהודה' (=השופט 'עתניאל') ושמעון אחיו שלמדו תורה יחד בחברותא זכו להגיע למדרגת האדם העליון, וכשהם נכנסו ל'ירושלים של מעלה' הרי שבהשוואה אליהם '</w:t>
      </w:r>
      <w:r w:rsidRPr="00A355EC">
        <w:rPr>
          <w:rFonts w:ascii="David" w:hAnsi="David" w:cs="David"/>
          <w:rtl/>
        </w:rPr>
        <w:t>אֲדֹנִי בֶזֶק</w:t>
      </w:r>
      <w:r w:rsidRPr="00A355EC">
        <w:rPr>
          <w:rFonts w:ascii="David" w:hAnsi="David" w:cs="David" w:hint="cs"/>
          <w:rtl/>
        </w:rPr>
        <w:t>' נחשב כמו 'מת' שצריך להוציאו משם, וזו בעצם 'מלחמת גוג ומגוג' הראשונה.</w:t>
      </w:r>
    </w:p>
    <w:p w14:paraId="32E1D69A" w14:textId="77777777" w:rsidR="00A355EC" w:rsidRPr="00A355EC" w:rsidRDefault="00A355EC" w:rsidP="00A355EC">
      <w:pPr>
        <w:tabs>
          <w:tab w:val="left" w:pos="1466"/>
        </w:tabs>
        <w:contextualSpacing/>
        <w:rPr>
          <w:rFonts w:ascii="David" w:hAnsi="David" w:cs="David"/>
          <w:rtl/>
        </w:rPr>
      </w:pPr>
    </w:p>
    <w:p w14:paraId="1CF2971B"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בספר שופטים מסופר שמלחמה זו וכן המלחמה שאחריה שעסקה בכיבוש חברון ודרום הארץ אירעו לאחר מות יהושע, אולם בספר יהושע מסופר שכיבוש חברון והדרום אירעו בחיי יהושע. הפתרון לסתירה הזו הוא בהבנה שהמאורעות שבתחילת ספר שופטים מתוארים לפי ראייתו הנבואית של עתניאל, ולפיה יהושע נחשב ל'מת' מבחינה רוחנית, משום שלפי ראייתו הנבואית של יהושע כיבוש הארץ צריך להיעשות באופן גשמי על ידי חיילים רבים, ואי אפשר לסמוך על כך שעמל התורה של עוסקי התורה יפיל את הגויים חללים לפני בני ישראל.</w:t>
      </w:r>
    </w:p>
    <w:p w14:paraId="219BB363" w14:textId="77777777" w:rsidR="00A355EC" w:rsidRPr="00A355EC" w:rsidRDefault="00A355EC" w:rsidP="00A355EC">
      <w:pPr>
        <w:tabs>
          <w:tab w:val="left" w:pos="1466"/>
        </w:tabs>
        <w:contextualSpacing/>
        <w:rPr>
          <w:rFonts w:ascii="David" w:hAnsi="David" w:cs="David"/>
          <w:rtl/>
        </w:rPr>
      </w:pPr>
    </w:p>
    <w:p w14:paraId="6D3DA8DD"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זכריה מנבא, שבזמן הגאולה העתידית תחזור ותתחדש המחלוקת שהיתה בין תלמידי עתניאל לבין רוב ישראל שהיו תלמידי יהושע בן נון. כאשר העמים שסובבים את ארץ ישראל יבואו להילחם בעם ישראל, חברי הקבוצה שעוסקת במלחמות ירצו שחברי הקבוצה השניה שעוסקת בתורה, יבטלו מתורתם ויתגייסו לצבא ויעזרו להם במלחמתם בגויים. לפי המחשבה הגויית רק חיילים רבים שאוחזים בנשק גשמי מביאים </w:t>
      </w:r>
      <w:proofErr w:type="spellStart"/>
      <w:r w:rsidRPr="00A355EC">
        <w:rPr>
          <w:rFonts w:ascii="David" w:hAnsi="David" w:cs="David" w:hint="cs"/>
          <w:rtl/>
        </w:rPr>
        <w:t>לנצחון</w:t>
      </w:r>
      <w:proofErr w:type="spellEnd"/>
      <w:r w:rsidRPr="00A355EC">
        <w:rPr>
          <w:rFonts w:ascii="David" w:hAnsi="David" w:cs="David" w:hint="cs"/>
          <w:rtl/>
        </w:rPr>
        <w:t>, מחשבה שכזו משתלטת מתחילה גם על היהודים שאוחזים בנשק הגשמי מחוץ ל'בית המדרש'. והם דורשים מ'לומדי התורה' (</w:t>
      </w:r>
      <w:r w:rsidRPr="00A355EC">
        <w:rPr>
          <w:rFonts w:ascii="David" w:hAnsi="David" w:cs="David"/>
          <w:rtl/>
        </w:rPr>
        <w:t xml:space="preserve">יֹשְׁבֵי יְרוּשָׁלִַם </w:t>
      </w:r>
      <w:r w:rsidRPr="00A355EC">
        <w:rPr>
          <w:rFonts w:ascii="David" w:hAnsi="David" w:cs="David" w:hint="cs"/>
          <w:rtl/>
        </w:rPr>
        <w:t>של מעלה' = 'בני הישיבות') לסייע בידם, לעזוב את בית המדרש ('ירושלים') ולהצטרף אליהם למלחמה נגד הגויים אויבי ישראל. והדרישה זו מתוארת במילים: "</w:t>
      </w:r>
      <w:r w:rsidRPr="00A355EC">
        <w:rPr>
          <w:rFonts w:ascii="David" w:hAnsi="David" w:cs="David"/>
          <w:rtl/>
        </w:rPr>
        <w:t>וְגַם עַל יְהוּדָה יִהְיֶה בַמָּצוֹר עַל יְרוּשָׁלִָם</w:t>
      </w:r>
      <w:r w:rsidRPr="00A355EC">
        <w:rPr>
          <w:rFonts w:ascii="David" w:hAnsi="David" w:cs="David" w:hint="cs"/>
          <w:rtl/>
        </w:rPr>
        <w:t>".</w:t>
      </w:r>
    </w:p>
    <w:p w14:paraId="7184268F"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ואמנם בזמן יהושע בן נון לא היתה דרישה תובענית שכזו כלפי קבוצת 'יושבי ירושלים', משום שעתניאל ותלמידיו ('יושב ירושלים') היו אז קבוצה קטנה ביחס לשאר האוכלוסיי</w:t>
      </w:r>
      <w:r w:rsidRPr="00A355EC">
        <w:rPr>
          <w:rFonts w:ascii="David" w:hAnsi="David" w:cs="David" w:hint="eastAsia"/>
          <w:rtl/>
        </w:rPr>
        <w:t>ה</w:t>
      </w:r>
      <w:r w:rsidRPr="00A355EC">
        <w:rPr>
          <w:rFonts w:ascii="David" w:hAnsi="David" w:cs="David" w:hint="cs"/>
          <w:rtl/>
        </w:rPr>
        <w:t xml:space="preserve"> שהתגייסה לצבא יהושע. אך בזמן הגאולה העתידה קבוצת 'יושבי ירושלים' תהיה גדולה מאוד, ולכן תופנה כלפיה דרישה תובענית להתגייס לצבא כדי להילחם בגויים.</w:t>
      </w:r>
    </w:p>
    <w:p w14:paraId="75C83AF3" w14:textId="77777777" w:rsidR="00A355EC" w:rsidRPr="00A355EC" w:rsidRDefault="00A355EC" w:rsidP="00A355EC">
      <w:pPr>
        <w:tabs>
          <w:tab w:val="left" w:pos="1466"/>
        </w:tabs>
        <w:contextualSpacing/>
        <w:rPr>
          <w:rFonts w:ascii="David" w:hAnsi="David" w:cs="David"/>
          <w:rtl/>
        </w:rPr>
      </w:pPr>
    </w:p>
    <w:p w14:paraId="1D8A77FD" w14:textId="55DB48C0" w:rsid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ביטול הדרישה הכוללנית להתגייסות לצבא</w:t>
      </w:r>
    </w:p>
    <w:p w14:paraId="6429D430"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אמנם בהמשך הקב"ה פוקח את עיניהם הרוחניות של היהודים הלוחמים, והם רואים כיצד לימוד התורה של 'בני הישיבות' מסייע בידם במלחמה הגשמית נגד הגויים. ודבר זה מתואר בהמשך הנבואה: "</w:t>
      </w:r>
      <w:r w:rsidRPr="00A355EC">
        <w:rPr>
          <w:rFonts w:ascii="David" w:hAnsi="David" w:cs="David"/>
          <w:rtl/>
        </w:rPr>
        <w:t xml:space="preserve">בַּיּוֹם הַהוּא נְאֻם </w:t>
      </w:r>
      <w:r w:rsidRPr="00A355EC">
        <w:rPr>
          <w:rFonts w:ascii="David" w:hAnsi="David" w:cs="David" w:hint="cs"/>
          <w:rtl/>
        </w:rPr>
        <w:t xml:space="preserve">ד' </w:t>
      </w:r>
      <w:r w:rsidRPr="00A355EC">
        <w:rPr>
          <w:rFonts w:ascii="David" w:hAnsi="David" w:cs="David"/>
          <w:rtl/>
        </w:rPr>
        <w:t xml:space="preserve">אַכֶּה כָל סוּס </w:t>
      </w:r>
      <w:proofErr w:type="spellStart"/>
      <w:r w:rsidRPr="00A355EC">
        <w:rPr>
          <w:rFonts w:ascii="David" w:hAnsi="David" w:cs="David"/>
          <w:rtl/>
        </w:rPr>
        <w:t>בַּתִּמָּהוֹן</w:t>
      </w:r>
      <w:proofErr w:type="spellEnd"/>
      <w:r w:rsidRPr="00A355EC">
        <w:rPr>
          <w:rFonts w:ascii="David" w:hAnsi="David" w:cs="David"/>
          <w:rtl/>
        </w:rPr>
        <w:t xml:space="preserve"> וְרֹכְבוֹ </w:t>
      </w:r>
      <w:proofErr w:type="spellStart"/>
      <w:r w:rsidRPr="00A355EC">
        <w:rPr>
          <w:rFonts w:ascii="David" w:hAnsi="David" w:cs="David"/>
          <w:rtl/>
        </w:rPr>
        <w:t>בַּשִּׁגָּעוֹן</w:t>
      </w:r>
      <w:proofErr w:type="spellEnd"/>
      <w:r w:rsidRPr="00A355EC">
        <w:rPr>
          <w:rFonts w:ascii="David" w:hAnsi="David" w:cs="David"/>
          <w:rtl/>
        </w:rPr>
        <w:t xml:space="preserve"> וְעַל בֵּית יְהוּדָה אֶפְקַח אֶת עֵינַי וְכֹל סוּס הָעַמִּים אַכֶּה </w:t>
      </w:r>
      <w:proofErr w:type="spellStart"/>
      <w:r w:rsidRPr="00A355EC">
        <w:rPr>
          <w:rFonts w:ascii="David" w:hAnsi="David" w:cs="David"/>
          <w:rtl/>
        </w:rPr>
        <w:t>בַּעִוָּרוֹן</w:t>
      </w:r>
      <w:proofErr w:type="spellEnd"/>
      <w:r w:rsidRPr="00A355EC">
        <w:rPr>
          <w:rFonts w:ascii="David" w:hAnsi="David" w:cs="David"/>
          <w:rtl/>
        </w:rPr>
        <w:t xml:space="preserve">: וְאָמְרוּ אַלֻּפֵי יְהוּדָה </w:t>
      </w:r>
      <w:proofErr w:type="spellStart"/>
      <w:r w:rsidRPr="00A355EC">
        <w:rPr>
          <w:rFonts w:ascii="David" w:hAnsi="David" w:cs="David"/>
          <w:rtl/>
        </w:rPr>
        <w:t>בְּלִבָּם</w:t>
      </w:r>
      <w:proofErr w:type="spellEnd"/>
      <w:r w:rsidRPr="00A355EC">
        <w:rPr>
          <w:rFonts w:ascii="David" w:hAnsi="David" w:cs="David"/>
          <w:rtl/>
        </w:rPr>
        <w:t xml:space="preserve"> אַמְצָה לִי יֹשְׁבֵי יְרוּשָׁלִַם בַּ</w:t>
      </w:r>
      <w:r w:rsidRPr="00A355EC">
        <w:rPr>
          <w:rFonts w:ascii="David" w:hAnsi="David" w:cs="David" w:hint="cs"/>
          <w:rtl/>
        </w:rPr>
        <w:t xml:space="preserve">ד' </w:t>
      </w:r>
      <w:r w:rsidRPr="00A355EC">
        <w:rPr>
          <w:rFonts w:ascii="David" w:hAnsi="David" w:cs="David"/>
          <w:rtl/>
        </w:rPr>
        <w:t xml:space="preserve">צְבָאוֹת </w:t>
      </w:r>
      <w:proofErr w:type="spellStart"/>
      <w:r w:rsidRPr="00A355EC">
        <w:rPr>
          <w:rFonts w:ascii="David" w:hAnsi="David" w:cs="David"/>
          <w:rtl/>
        </w:rPr>
        <w:t>אֱלֹהֵיהֶם</w:t>
      </w:r>
      <w:proofErr w:type="spellEnd"/>
      <w:r w:rsidRPr="00A355EC">
        <w:rPr>
          <w:rFonts w:ascii="David" w:hAnsi="David" w:cs="David"/>
          <w:rtl/>
        </w:rPr>
        <w:t>:</w:t>
      </w:r>
      <w:r w:rsidRPr="00A355EC">
        <w:rPr>
          <w:rFonts w:ascii="David" w:hAnsi="David" w:cs="David" w:hint="cs"/>
          <w:rtl/>
        </w:rPr>
        <w:t>"</w:t>
      </w:r>
    </w:p>
    <w:p w14:paraId="33BE26E1"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lastRenderedPageBreak/>
        <w:t>הגויים עדין יהיו 'עיוורים' מבחינה רוחנית, אך "</w:t>
      </w:r>
      <w:r w:rsidRPr="00A355EC">
        <w:rPr>
          <w:rFonts w:ascii="David" w:hAnsi="David" w:cs="David"/>
          <w:rtl/>
        </w:rPr>
        <w:t>עַל בֵּית יְהוּדָה אֶפְקַח אֶת עֵינַי</w:t>
      </w:r>
      <w:r w:rsidRPr="00A355EC">
        <w:rPr>
          <w:rFonts w:ascii="David" w:hAnsi="David" w:cs="David" w:hint="cs"/>
          <w:rtl/>
        </w:rPr>
        <w:t xml:space="preserve">", </w:t>
      </w:r>
      <w:proofErr w:type="spellStart"/>
      <w:r w:rsidRPr="00A355EC">
        <w:rPr>
          <w:rFonts w:ascii="David" w:hAnsi="David" w:cs="David" w:hint="cs"/>
          <w:rtl/>
        </w:rPr>
        <w:t>ו'</w:t>
      </w:r>
      <w:r w:rsidRPr="00A355EC">
        <w:rPr>
          <w:rFonts w:ascii="David" w:hAnsi="David" w:cs="David"/>
          <w:rtl/>
        </w:rPr>
        <w:t>בֵּית</w:t>
      </w:r>
      <w:proofErr w:type="spellEnd"/>
      <w:r w:rsidRPr="00A355EC">
        <w:rPr>
          <w:rFonts w:ascii="David" w:hAnsi="David" w:cs="David"/>
          <w:rtl/>
        </w:rPr>
        <w:t xml:space="preserve"> יְהוּדָה</w:t>
      </w:r>
      <w:r w:rsidRPr="00A355EC">
        <w:rPr>
          <w:rFonts w:ascii="David" w:hAnsi="David" w:cs="David" w:hint="cs"/>
          <w:rtl/>
        </w:rPr>
        <w:t>'</w:t>
      </w:r>
      <w:r w:rsidRPr="00A355EC">
        <w:rPr>
          <w:rFonts w:ascii="David" w:hAnsi="David" w:cs="David"/>
          <w:rtl/>
        </w:rPr>
        <w:t xml:space="preserve"> </w:t>
      </w:r>
      <w:r w:rsidRPr="00A355EC">
        <w:rPr>
          <w:rFonts w:ascii="David" w:hAnsi="David" w:cs="David" w:hint="cs"/>
          <w:rtl/>
        </w:rPr>
        <w:t>יבינו שההצלחות המופלאות שהם זוכים להם במלחמה מול הגויים מגיעות אליהם בזכות '</w:t>
      </w:r>
      <w:r w:rsidRPr="00A355EC">
        <w:rPr>
          <w:rFonts w:ascii="David" w:hAnsi="David" w:cs="David"/>
          <w:rtl/>
        </w:rPr>
        <w:t>יֹשְׁבֵי יְרוּשָׁלִַם</w:t>
      </w:r>
      <w:r w:rsidRPr="00A355EC">
        <w:rPr>
          <w:rFonts w:ascii="David" w:hAnsi="David" w:cs="David" w:hint="cs"/>
          <w:rtl/>
        </w:rPr>
        <w:t>'</w:t>
      </w:r>
      <w:r w:rsidRPr="00A355EC">
        <w:rPr>
          <w:rFonts w:ascii="David" w:hAnsi="David" w:cs="David"/>
          <w:rtl/>
        </w:rPr>
        <w:t xml:space="preserve"> </w:t>
      </w:r>
      <w:r w:rsidRPr="00A355EC">
        <w:rPr>
          <w:rFonts w:ascii="David" w:hAnsi="David" w:cs="David" w:hint="cs"/>
          <w:rtl/>
        </w:rPr>
        <w:t>(המתמידים האמיתיים) שעוסקים כל היום בתורה ובתפילה. ההכרה הזו תביא להצלחות צבאיות גדולות עוד יותר, ויוסכם שיושבי ירושלים ('בני הישיבות המתמידים האמיתיים') יכולים להישאר בתפקידם, וזו כוונת הכתוב הבא: "</w:t>
      </w:r>
      <w:r w:rsidRPr="00A355EC">
        <w:rPr>
          <w:rFonts w:ascii="David" w:hAnsi="David" w:cs="David"/>
          <w:rtl/>
        </w:rPr>
        <w:t>בַּיּוֹם הַהוּא אָשִׂים אֶת אַלֻּפֵי יְהוּדָה כְּכִיּוֹר אֵשׁ בְּעֵצִים וּכְלַפִּיד אֵשׁ בְּעָמִיר וְאָכְלוּ עַל יָמִין וְעַל שְׂמֹאול אֶת כָּל הָעַמִּים סָבִיב וְיָשְׁבָה יְרוּשָׁלִַם עוֹד תַּחְתֶּיהָ בִּירוּשָׁלִָם:</w:t>
      </w:r>
      <w:r w:rsidRPr="00A355EC">
        <w:rPr>
          <w:rFonts w:ascii="David" w:hAnsi="David" w:cs="David" w:hint="cs"/>
          <w:rtl/>
        </w:rPr>
        <w:t>". ומשמעות הנבואה - "</w:t>
      </w:r>
      <w:r w:rsidRPr="00A355EC">
        <w:rPr>
          <w:rFonts w:ascii="David" w:hAnsi="David" w:cs="David"/>
          <w:rtl/>
        </w:rPr>
        <w:t>וְיָשְׁבָה יְרוּשָׁלִַם עוֹד תַּחְתֶּיהָ בִּירוּשָׁלִָם</w:t>
      </w:r>
      <w:r w:rsidRPr="00A355EC">
        <w:rPr>
          <w:rFonts w:ascii="David" w:hAnsi="David" w:cs="David" w:hint="cs"/>
          <w:rtl/>
        </w:rPr>
        <w:t xml:space="preserve">" היא ביטול התביעה הכוללנית ליציאה מבית המדרש ולהתגייסות לצבא. הלוחמים שבצבא יכבדו אז את 'המתמידים </w:t>
      </w:r>
      <w:proofErr w:type="spellStart"/>
      <w:r w:rsidRPr="00A355EC">
        <w:rPr>
          <w:rFonts w:ascii="David" w:hAnsi="David" w:cs="David" w:hint="cs"/>
          <w:rtl/>
        </w:rPr>
        <w:t>האמתיים</w:t>
      </w:r>
      <w:proofErr w:type="spellEnd"/>
      <w:r w:rsidRPr="00A355EC">
        <w:rPr>
          <w:rFonts w:ascii="David" w:hAnsi="David" w:cs="David" w:hint="cs"/>
          <w:rtl/>
        </w:rPr>
        <w:t>' ששוהים כל זמנם בישיבה ולומדים תורה.</w:t>
      </w:r>
    </w:p>
    <w:p w14:paraId="20E65FBB" w14:textId="77777777" w:rsidR="00A355EC" w:rsidRPr="00A355EC" w:rsidRDefault="00A355EC" w:rsidP="00A355EC">
      <w:pPr>
        <w:tabs>
          <w:tab w:val="left" w:pos="1466"/>
        </w:tabs>
        <w:contextualSpacing/>
        <w:rPr>
          <w:rFonts w:ascii="David" w:hAnsi="David" w:cs="David"/>
          <w:rtl/>
        </w:rPr>
      </w:pPr>
    </w:p>
    <w:p w14:paraId="40F3422E"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למי מגיע הכבוד</w:t>
      </w:r>
    </w:p>
    <w:p w14:paraId="4F3EAFDC" w14:textId="77777777" w:rsidR="00A355EC" w:rsidRPr="00A355EC" w:rsidRDefault="00A355EC" w:rsidP="00A355EC">
      <w:pPr>
        <w:tabs>
          <w:tab w:val="left" w:pos="1466"/>
        </w:tabs>
        <w:contextualSpacing/>
        <w:rPr>
          <w:rFonts w:ascii="David" w:hAnsi="David" w:cs="David"/>
          <w:rtl/>
        </w:rPr>
      </w:pPr>
      <w:proofErr w:type="spellStart"/>
      <w:r w:rsidRPr="00A355EC">
        <w:rPr>
          <w:rFonts w:ascii="David" w:hAnsi="David" w:cs="David" w:hint="cs"/>
          <w:rtl/>
        </w:rPr>
        <w:t>הנצחון</w:t>
      </w:r>
      <w:proofErr w:type="spellEnd"/>
      <w:r w:rsidRPr="00A355EC">
        <w:rPr>
          <w:rFonts w:ascii="David" w:hAnsi="David" w:cs="David" w:hint="cs"/>
          <w:rtl/>
        </w:rPr>
        <w:t xml:space="preserve"> על האויב הגיע בשילוב הכוחות, של הכוח הגשמי של החיילים האמיצים ושל הכוח הרוחני של המתמידים </w:t>
      </w:r>
      <w:proofErr w:type="spellStart"/>
      <w:r w:rsidRPr="00A355EC">
        <w:rPr>
          <w:rFonts w:ascii="David" w:hAnsi="David" w:cs="David" w:hint="cs"/>
          <w:rtl/>
        </w:rPr>
        <w:t>האמתיים</w:t>
      </w:r>
      <w:proofErr w:type="spellEnd"/>
      <w:r w:rsidRPr="00A355EC">
        <w:rPr>
          <w:rFonts w:ascii="David" w:hAnsi="David" w:cs="David" w:hint="cs"/>
          <w:rtl/>
        </w:rPr>
        <w:t xml:space="preserve">, ו'תפארת </w:t>
      </w:r>
      <w:proofErr w:type="spellStart"/>
      <w:r w:rsidRPr="00A355EC">
        <w:rPr>
          <w:rFonts w:ascii="David" w:hAnsi="David" w:cs="David" w:hint="cs"/>
          <w:rtl/>
        </w:rPr>
        <w:t>הנצחון</w:t>
      </w:r>
      <w:proofErr w:type="spellEnd"/>
      <w:r w:rsidRPr="00A355EC">
        <w:rPr>
          <w:rFonts w:ascii="David" w:hAnsi="David" w:cs="David" w:hint="cs"/>
          <w:rtl/>
        </w:rPr>
        <w:t>' היתה צריכה להתחלק בשווה בין שני הצדדים. אך כיוון שבני הישיבות אינם מוכנים להודות לחיילים האמיצים שעזבו את בית המדרש והתגייסו, והם ממשיכים בשיטת עתניאל שכל התהילה מגיעה רק ללומדי התורה. לפיכך בתור תגובה נגדית להשקפה זו מנבא זכריה: "</w:t>
      </w:r>
      <w:r w:rsidRPr="00A355EC">
        <w:rPr>
          <w:rFonts w:ascii="David" w:hAnsi="David" w:cs="David"/>
          <w:rtl/>
        </w:rPr>
        <w:t xml:space="preserve">וְהוֹשִׁיעַ ד' אֶת </w:t>
      </w:r>
      <w:proofErr w:type="spellStart"/>
      <w:r w:rsidRPr="00A355EC">
        <w:rPr>
          <w:rFonts w:ascii="David" w:hAnsi="David" w:cs="David"/>
          <w:rtl/>
        </w:rPr>
        <w:t>אָהֳלֵי</w:t>
      </w:r>
      <w:proofErr w:type="spellEnd"/>
      <w:r w:rsidRPr="00A355EC">
        <w:rPr>
          <w:rFonts w:ascii="David" w:hAnsi="David" w:cs="David"/>
          <w:rtl/>
        </w:rPr>
        <w:t xml:space="preserve"> יְהוּדָה בָּרִאשֹׁנָה לְמַעַן לֹא תִגְדַּל תִּפְאֶרֶת בֵּית דָּוִיד וְתִפְאֶרֶת יֹשֵׁב יְרוּשָׁלִַם עַל יְהוּדָה</w:t>
      </w:r>
      <w:r w:rsidRPr="00A355EC">
        <w:rPr>
          <w:rFonts w:ascii="David" w:hAnsi="David" w:cs="David" w:hint="cs"/>
          <w:rtl/>
        </w:rPr>
        <w:t>". הירושלמי (</w:t>
      </w:r>
      <w:r w:rsidRPr="00A355EC">
        <w:rPr>
          <w:rFonts w:ascii="David" w:hAnsi="David" w:cs="David"/>
          <w:rtl/>
        </w:rPr>
        <w:t xml:space="preserve">סוכה </w:t>
      </w:r>
      <w:r w:rsidRPr="00A355EC">
        <w:rPr>
          <w:rFonts w:ascii="David" w:hAnsi="David" w:cs="David" w:hint="cs"/>
          <w:rtl/>
        </w:rPr>
        <w:t>פ"</w:t>
      </w:r>
      <w:r w:rsidRPr="00A355EC">
        <w:rPr>
          <w:rFonts w:ascii="David" w:hAnsi="David" w:cs="David"/>
          <w:rtl/>
        </w:rPr>
        <w:t>ד</w:t>
      </w:r>
      <w:r w:rsidRPr="00A355EC">
        <w:rPr>
          <w:rFonts w:ascii="David" w:hAnsi="David" w:cs="David" w:hint="cs"/>
          <w:rtl/>
        </w:rPr>
        <w:t xml:space="preserve"> </w:t>
      </w:r>
      <w:proofErr w:type="spellStart"/>
      <w:r w:rsidRPr="00A355EC">
        <w:rPr>
          <w:rFonts w:ascii="David" w:hAnsi="David" w:cs="David" w:hint="cs"/>
          <w:rtl/>
        </w:rPr>
        <w:t>ה"ג</w:t>
      </w:r>
      <w:proofErr w:type="spellEnd"/>
      <w:r w:rsidRPr="00A355EC">
        <w:rPr>
          <w:rFonts w:ascii="David" w:hAnsi="David" w:cs="David" w:hint="cs"/>
          <w:rtl/>
        </w:rPr>
        <w:t>) דן בכתוב הזה, ו'קרבן העדה' מביא פירוש ולפיו המילה "</w:t>
      </w:r>
      <w:r w:rsidRPr="00A355EC">
        <w:rPr>
          <w:rFonts w:ascii="David" w:hAnsi="David" w:cs="David"/>
          <w:rtl/>
        </w:rPr>
        <w:t>אֶת</w:t>
      </w:r>
      <w:r w:rsidRPr="00A355EC">
        <w:rPr>
          <w:rFonts w:ascii="David" w:hAnsi="David" w:cs="David" w:hint="cs"/>
          <w:rtl/>
        </w:rPr>
        <w:t>" מתפרשת בירושלמי במשמעות של "</w:t>
      </w:r>
      <w:r w:rsidRPr="00A355EC">
        <w:rPr>
          <w:rFonts w:ascii="David" w:hAnsi="David" w:cs="David"/>
          <w:rtl/>
        </w:rPr>
        <w:t>עִם</w:t>
      </w:r>
      <w:r w:rsidRPr="00A355EC">
        <w:rPr>
          <w:rFonts w:ascii="David" w:hAnsi="David" w:cs="David" w:hint="cs"/>
          <w:rtl/>
        </w:rPr>
        <w:t>", וכביכול הקב"ה נושע יחד "</w:t>
      </w:r>
      <w:r w:rsidRPr="00A355EC">
        <w:rPr>
          <w:rFonts w:ascii="David" w:hAnsi="David" w:cs="David"/>
          <w:rtl/>
        </w:rPr>
        <w:t xml:space="preserve">עִם </w:t>
      </w:r>
      <w:proofErr w:type="spellStart"/>
      <w:r w:rsidRPr="00A355EC">
        <w:rPr>
          <w:rFonts w:ascii="David" w:hAnsi="David" w:cs="David"/>
          <w:rtl/>
        </w:rPr>
        <w:t>אָהֳלֵי</w:t>
      </w:r>
      <w:proofErr w:type="spellEnd"/>
      <w:r w:rsidRPr="00A355EC">
        <w:rPr>
          <w:rFonts w:ascii="David" w:hAnsi="David" w:cs="David"/>
          <w:rtl/>
        </w:rPr>
        <w:t xml:space="preserve"> יְהוּדָה</w:t>
      </w:r>
      <w:r w:rsidRPr="00A355EC">
        <w:rPr>
          <w:rFonts w:ascii="David" w:hAnsi="David" w:cs="David" w:hint="cs"/>
          <w:rtl/>
        </w:rPr>
        <w:t>". 'השכינה' נמצאת יחד '</w:t>
      </w:r>
      <w:proofErr w:type="spellStart"/>
      <w:r w:rsidRPr="00A355EC">
        <w:rPr>
          <w:rFonts w:ascii="David" w:hAnsi="David" w:cs="David"/>
          <w:rtl/>
        </w:rPr>
        <w:t>אָהֳלֵי</w:t>
      </w:r>
      <w:proofErr w:type="spellEnd"/>
      <w:r w:rsidRPr="00A355EC">
        <w:rPr>
          <w:rFonts w:ascii="David" w:hAnsi="David" w:cs="David"/>
          <w:rtl/>
        </w:rPr>
        <w:t xml:space="preserve"> יְהוּדָה</w:t>
      </w:r>
      <w:r w:rsidRPr="00A355EC">
        <w:rPr>
          <w:rFonts w:ascii="David" w:hAnsi="David" w:cs="David" w:hint="cs"/>
          <w:rtl/>
        </w:rPr>
        <w:t>' שאוחזים בנשק הגשמי במלחמתם באויבי ישראל, וכאשר הם נושעים במלחמתם היא נושעת יחד עימם. ולפי נבואה זו, מי שרוצה לפעול עם ד' ולהצטרף אל 'השכינה', צריך לבחור בעדיפות ראשונה ("</w:t>
      </w:r>
      <w:r w:rsidRPr="00A355EC">
        <w:rPr>
          <w:rFonts w:ascii="David" w:hAnsi="David" w:cs="David"/>
          <w:rtl/>
        </w:rPr>
        <w:t>בָּרִאשֹׁנָה</w:t>
      </w:r>
      <w:r w:rsidRPr="00A355EC">
        <w:rPr>
          <w:rFonts w:ascii="David" w:hAnsi="David" w:cs="David" w:hint="cs"/>
          <w:rtl/>
        </w:rPr>
        <w:t>")</w:t>
      </w:r>
      <w:r w:rsidRPr="00A355EC">
        <w:rPr>
          <w:rFonts w:ascii="David" w:hAnsi="David" w:cs="David"/>
          <w:rtl/>
        </w:rPr>
        <w:t xml:space="preserve"> </w:t>
      </w:r>
      <w:r w:rsidRPr="00A355EC">
        <w:rPr>
          <w:rFonts w:ascii="David" w:hAnsi="David" w:cs="David" w:hint="cs"/>
          <w:rtl/>
        </w:rPr>
        <w:t xml:space="preserve">להצטרף </w:t>
      </w:r>
      <w:proofErr w:type="spellStart"/>
      <w:r w:rsidRPr="00A355EC">
        <w:rPr>
          <w:rFonts w:ascii="David" w:hAnsi="David" w:cs="David" w:hint="cs"/>
          <w:rtl/>
        </w:rPr>
        <w:t>לאהלי</w:t>
      </w:r>
      <w:proofErr w:type="spellEnd"/>
      <w:r w:rsidRPr="00A355EC">
        <w:rPr>
          <w:rFonts w:ascii="David" w:hAnsi="David" w:cs="David" w:hint="cs"/>
          <w:rtl/>
        </w:rPr>
        <w:t xml:space="preserve"> הצבא שבשדה, ו'תפארת </w:t>
      </w:r>
      <w:proofErr w:type="spellStart"/>
      <w:r w:rsidRPr="00A355EC">
        <w:rPr>
          <w:rFonts w:ascii="David" w:hAnsi="David" w:cs="David" w:hint="cs"/>
          <w:rtl/>
        </w:rPr>
        <w:t>הנצחון</w:t>
      </w:r>
      <w:proofErr w:type="spellEnd"/>
      <w:r w:rsidRPr="00A355EC">
        <w:rPr>
          <w:rFonts w:ascii="David" w:hAnsi="David" w:cs="David" w:hint="cs"/>
          <w:rtl/>
        </w:rPr>
        <w:t>' מגיעה אליהם.</w:t>
      </w:r>
    </w:p>
    <w:p w14:paraId="32ED59E6"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במעשה ב'בני רוכל' רמזו לנו חז"ל כיצד תיראה בעתיד נבואה זו של זכריה, ולשם כך צריך להעמיק בפרטים נוספים שבנבואת זכריה, </w:t>
      </w:r>
      <w:proofErr w:type="spellStart"/>
      <w:r w:rsidRPr="00A355EC">
        <w:rPr>
          <w:rFonts w:ascii="David" w:hAnsi="David" w:cs="David" w:hint="cs"/>
          <w:rtl/>
        </w:rPr>
        <w:t>וכדלקמן</w:t>
      </w:r>
      <w:proofErr w:type="spellEnd"/>
      <w:r w:rsidRPr="00A355EC">
        <w:rPr>
          <w:rFonts w:ascii="David" w:hAnsi="David" w:cs="David" w:hint="cs"/>
          <w:rtl/>
        </w:rPr>
        <w:t>.</w:t>
      </w:r>
    </w:p>
    <w:p w14:paraId="569E9143" w14:textId="77777777" w:rsidR="00A355EC" w:rsidRPr="00A355EC" w:rsidRDefault="00A355EC" w:rsidP="00A355EC">
      <w:pPr>
        <w:tabs>
          <w:tab w:val="left" w:pos="1466"/>
        </w:tabs>
        <w:contextualSpacing/>
        <w:rPr>
          <w:rFonts w:ascii="David" w:hAnsi="David" w:cs="David"/>
          <w:rtl/>
        </w:rPr>
      </w:pPr>
    </w:p>
    <w:p w14:paraId="1C37A6D6"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ה'אם' שרוצה לתת את ה'תפארת' לבת שלה</w:t>
      </w:r>
    </w:p>
    <w:p w14:paraId="1E081E03"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במאמר הקודם "</w:t>
      </w:r>
      <w:hyperlink r:id="rId19" w:history="1">
        <w:r w:rsidRPr="00A355EC">
          <w:rPr>
            <w:rFonts w:ascii="David" w:hAnsi="David" w:cs="David" w:hint="cs"/>
            <w:rtl/>
          </w:rPr>
          <w:t>הרמב"ם וגוג ומגוג</w:t>
        </w:r>
      </w:hyperlink>
      <w:r w:rsidRPr="00A355EC">
        <w:rPr>
          <w:rFonts w:ascii="David" w:hAnsi="David" w:cs="David" w:hint="cs"/>
          <w:rtl/>
        </w:rPr>
        <w:t>" התבאר שבנבואת זכריה חברי הקבוצה הרוחנית שנקראים שם 'יושב ירושלים' מתייחסים אל עצמם בתור 'גברים'. ומאידך לחבריהם שיצאו מבית המדרש לעסוק בצד הגשמי של עם ישראל הם מתייחסים בתור 'נשים' ש'נאנסו' והחשיבה הגויית השתלטה עליהם, וזו משמעות הנבואה שם: "</w:t>
      </w:r>
      <w:r w:rsidRPr="00A355EC">
        <w:rPr>
          <w:rFonts w:ascii="David" w:hAnsi="David" w:cs="David"/>
          <w:rtl/>
        </w:rPr>
        <w:t xml:space="preserve">וְאָסַפְתִּי אֶת כָּל </w:t>
      </w:r>
      <w:proofErr w:type="spellStart"/>
      <w:r w:rsidRPr="00A355EC">
        <w:rPr>
          <w:rFonts w:ascii="David" w:hAnsi="David" w:cs="David"/>
          <w:rtl/>
        </w:rPr>
        <w:t>הַגּוֹיִם</w:t>
      </w:r>
      <w:proofErr w:type="spellEnd"/>
      <w:r w:rsidRPr="00A355EC">
        <w:rPr>
          <w:rFonts w:ascii="David" w:hAnsi="David" w:cs="David"/>
          <w:rtl/>
        </w:rPr>
        <w:t xml:space="preserve"> אֶל יְרוּשָׁלִַם לַמִּלְחָמָה וְנִלְכְּדָה הָעִיר </w:t>
      </w:r>
      <w:proofErr w:type="spellStart"/>
      <w:r w:rsidRPr="00A355EC">
        <w:rPr>
          <w:rFonts w:ascii="David" w:hAnsi="David" w:cs="David"/>
          <w:rtl/>
        </w:rPr>
        <w:t>וְנָשַׁסּו</w:t>
      </w:r>
      <w:proofErr w:type="spellEnd"/>
      <w:r w:rsidRPr="00A355EC">
        <w:rPr>
          <w:rFonts w:ascii="David" w:hAnsi="David" w:cs="David"/>
          <w:rtl/>
        </w:rPr>
        <w:t xml:space="preserve">ּ הַבָּתִּים וְהַנָּשִׁים </w:t>
      </w:r>
      <w:r w:rsidRPr="00A355EC">
        <w:rPr>
          <w:rFonts w:ascii="David" w:hAnsi="David" w:cs="David" w:hint="cs"/>
          <w:rtl/>
        </w:rPr>
        <w:t>(</w:t>
      </w:r>
      <w:proofErr w:type="spellStart"/>
      <w:r w:rsidRPr="00A355EC">
        <w:rPr>
          <w:rFonts w:ascii="David" w:hAnsi="David" w:cs="David"/>
          <w:rtl/>
        </w:rPr>
        <w:t>תשגלנה</w:t>
      </w:r>
      <w:proofErr w:type="spellEnd"/>
      <w:r w:rsidRPr="00A355EC">
        <w:rPr>
          <w:rFonts w:ascii="David" w:hAnsi="David" w:cs="David" w:hint="cs"/>
          <w:rtl/>
        </w:rPr>
        <w:t>)</w:t>
      </w:r>
      <w:r w:rsidRPr="00A355EC">
        <w:rPr>
          <w:rFonts w:ascii="David" w:hAnsi="David" w:cs="David"/>
          <w:rtl/>
        </w:rPr>
        <w:t xml:space="preserve"> תִּשָּׁכַבְנָה</w:t>
      </w:r>
      <w:r w:rsidRPr="00A355EC">
        <w:rPr>
          <w:rFonts w:ascii="David" w:hAnsi="David" w:cs="David" w:hint="cs"/>
          <w:rtl/>
        </w:rPr>
        <w:t>...".</w:t>
      </w:r>
    </w:p>
    <w:p w14:paraId="38740A65"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אמנם, הלוחמים אינם רואים את עצמם כמי שהחשיבה הגויית השתלטה עליהם. ולפי השקפתם, הם ממשיכים את השקפת יהושע בן נון שצריך לכבוש את ארץ ישראל ולהגן עליה בכלי נשק גשמיים ובאמצעות חיילים רבים, וד' בא ועוזר למי שמשתדל בדרך זו. וכפי שכתב הרמב"ן (</w:t>
      </w:r>
      <w:r w:rsidRPr="00A355EC">
        <w:rPr>
          <w:rFonts w:ascii="David" w:hAnsi="David" w:cs="David"/>
          <w:rtl/>
        </w:rPr>
        <w:t xml:space="preserve">במדבר </w:t>
      </w:r>
      <w:proofErr w:type="spellStart"/>
      <w:r w:rsidRPr="00A355EC">
        <w:rPr>
          <w:rFonts w:ascii="David" w:hAnsi="David" w:cs="David"/>
          <w:rtl/>
        </w:rPr>
        <w:t>א</w:t>
      </w:r>
      <w:r w:rsidRPr="00A355EC">
        <w:rPr>
          <w:rFonts w:ascii="David" w:hAnsi="David" w:cs="David" w:hint="cs"/>
          <w:rtl/>
        </w:rPr>
        <w:t>,</w:t>
      </w:r>
      <w:r w:rsidRPr="00A355EC">
        <w:rPr>
          <w:rFonts w:ascii="David" w:hAnsi="David" w:cs="David"/>
          <w:rtl/>
        </w:rPr>
        <w:t>מה</w:t>
      </w:r>
      <w:proofErr w:type="spellEnd"/>
      <w:r w:rsidRPr="00A355EC">
        <w:rPr>
          <w:rFonts w:ascii="David" w:hAnsi="David" w:cs="David" w:hint="cs"/>
          <w:rtl/>
        </w:rPr>
        <w:t>): "</w:t>
      </w:r>
      <w:r w:rsidRPr="00A355EC">
        <w:rPr>
          <w:rFonts w:ascii="David" w:hAnsi="David" w:cs="David"/>
          <w:rtl/>
        </w:rPr>
        <w:t>כי התורה לא תסמוך על הנס שירדוף אחד אלף</w:t>
      </w:r>
      <w:r w:rsidRPr="00A355EC">
        <w:rPr>
          <w:rFonts w:ascii="David" w:hAnsi="David" w:cs="David" w:hint="cs"/>
          <w:rtl/>
        </w:rPr>
        <w:t>,</w:t>
      </w:r>
      <w:r w:rsidRPr="00A355EC">
        <w:rPr>
          <w:rFonts w:ascii="David" w:hAnsi="David" w:cs="David"/>
          <w:rtl/>
        </w:rPr>
        <w:t xml:space="preserve"> וזה טעם </w:t>
      </w:r>
      <w:r w:rsidRPr="00A355EC">
        <w:rPr>
          <w:rFonts w:ascii="David" w:hAnsi="David" w:cs="David" w:hint="cs"/>
          <w:rtl/>
        </w:rPr>
        <w:t>'</w:t>
      </w:r>
      <w:r w:rsidRPr="00A355EC">
        <w:rPr>
          <w:rFonts w:ascii="David" w:hAnsi="David" w:cs="David"/>
          <w:rtl/>
        </w:rPr>
        <w:t>כָּל יֹצֵא צָבָא בְּיִשְׂרָאֵל</w:t>
      </w:r>
      <w:r w:rsidRPr="00A355EC">
        <w:rPr>
          <w:rFonts w:ascii="David" w:hAnsi="David" w:cs="David" w:hint="cs"/>
          <w:rtl/>
        </w:rPr>
        <w:t>'...". מי שקמו והתגייסו קיימו בעצמם את הכתוב "</w:t>
      </w:r>
      <w:r w:rsidRPr="00A355EC">
        <w:rPr>
          <w:rFonts w:ascii="David" w:hAnsi="David" w:cs="David"/>
          <w:rtl/>
        </w:rPr>
        <w:t>שַׁקַּמְתִּי אֵם בְּיִשְׂרָאֵל</w:t>
      </w:r>
      <w:r w:rsidRPr="00A355EC">
        <w:rPr>
          <w:rFonts w:ascii="David" w:hAnsi="David" w:cs="David" w:hint="cs"/>
          <w:rtl/>
        </w:rPr>
        <w:t xml:space="preserve">", והם חשים כמו 'אם' שמגינה על ילדיה שביניהם נמצאים גם בני הישיבות שנשארו להתמיד בלימודם. וכיוון ש'בני הישיבות' אינם מוכנים להוקיר להם תודה. לפיכך, בתגובה נגדית, 'האם רוכל' רוצה ש'תפארת </w:t>
      </w:r>
      <w:proofErr w:type="spellStart"/>
      <w:r w:rsidRPr="00A355EC">
        <w:rPr>
          <w:rFonts w:ascii="David" w:hAnsi="David" w:cs="David" w:hint="cs"/>
          <w:rtl/>
        </w:rPr>
        <w:t>הנצחון</w:t>
      </w:r>
      <w:proofErr w:type="spellEnd"/>
      <w:r w:rsidRPr="00A355EC">
        <w:rPr>
          <w:rFonts w:ascii="David" w:hAnsi="David" w:cs="David" w:hint="cs"/>
          <w:rtl/>
        </w:rPr>
        <w:t xml:space="preserve">' תישאר אצל הלוחמים בלבד. ולכן ב'מעשה' שמסופר במשנה רוצה ה'אם' ש'תפארת' </w:t>
      </w:r>
      <w:proofErr w:type="spellStart"/>
      <w:r w:rsidRPr="00A355EC">
        <w:rPr>
          <w:rFonts w:ascii="David" w:hAnsi="David" w:cs="David" w:hint="cs"/>
          <w:rtl/>
        </w:rPr>
        <w:t>הנצחון</w:t>
      </w:r>
      <w:proofErr w:type="spellEnd"/>
      <w:r w:rsidRPr="00A355EC">
        <w:rPr>
          <w:rFonts w:ascii="David" w:hAnsi="David" w:cs="David" w:hint="cs"/>
          <w:rtl/>
        </w:rPr>
        <w:t xml:space="preserve"> תגיע ל'בת' שלה - ל'לוחמים' (=</w:t>
      </w:r>
      <w:proofErr w:type="spellStart"/>
      <w:r w:rsidRPr="00A355EC">
        <w:rPr>
          <w:rFonts w:ascii="David" w:hAnsi="David" w:cs="David"/>
          <w:rtl/>
        </w:rPr>
        <w:t>אָהֳלֵי</w:t>
      </w:r>
      <w:proofErr w:type="spellEnd"/>
      <w:r w:rsidRPr="00A355EC">
        <w:rPr>
          <w:rFonts w:ascii="David" w:hAnsi="David" w:cs="David"/>
          <w:rtl/>
        </w:rPr>
        <w:t xml:space="preserve"> יְהוּדָה</w:t>
      </w:r>
      <w:r w:rsidRPr="00A355EC">
        <w:rPr>
          <w:rFonts w:ascii="David" w:hAnsi="David" w:cs="David" w:hint="cs"/>
          <w:rtl/>
        </w:rPr>
        <w:t>).</w:t>
      </w:r>
    </w:p>
    <w:p w14:paraId="56BF8C19"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בעיני בני הישיבות זהו מהלך שבדרך כלל אינו נכון, משום שלפי השקפתם הם ה'גברים' והם צריכים לרשת לבדם את 'תפארת </w:t>
      </w:r>
      <w:proofErr w:type="spellStart"/>
      <w:r w:rsidRPr="00A355EC">
        <w:rPr>
          <w:rFonts w:ascii="David" w:hAnsi="David" w:cs="David" w:hint="cs"/>
          <w:rtl/>
        </w:rPr>
        <w:t>הנצחון</w:t>
      </w:r>
      <w:proofErr w:type="spellEnd"/>
      <w:r w:rsidRPr="00A355EC">
        <w:rPr>
          <w:rFonts w:ascii="David" w:hAnsi="David" w:cs="David" w:hint="cs"/>
          <w:rtl/>
        </w:rPr>
        <w:t>' (את ה'תכשיט' שבמעשה שבמשנה). אלא שבכתוב זה שבנבואת זכריה ה'תפארת' הגיעה ל'בת' (=לוחמים) באופן יוצא דופן, רק משום שיש צד להתייחס אל ה'אם' בתור 'מתה' שציוותה מחמת מיתתה. חכמים שבמשנה משקפים את מחשבת בני הישיבות לגבי מה שרמוז בנבואת זכריה, וזו המשמעות הסמלית של המסופר במשנה: "</w:t>
      </w:r>
      <w:r w:rsidRPr="00A355EC">
        <w:rPr>
          <w:rFonts w:ascii="David" w:hAnsi="David" w:cs="David"/>
          <w:rtl/>
        </w:rPr>
        <w:t>מעשה בְאִמָּן (הָאֵם) של בני רוֹכֵל אמרה: תנו כְּבִינָתִי (</w:t>
      </w:r>
      <w:r w:rsidRPr="00A355EC">
        <w:rPr>
          <w:rFonts w:ascii="David" w:hAnsi="David" w:cs="David" w:hint="cs"/>
          <w:rtl/>
        </w:rPr>
        <w:t>תכשיט)</w:t>
      </w:r>
      <w:r w:rsidRPr="00A355EC">
        <w:rPr>
          <w:rFonts w:ascii="David" w:hAnsi="David" w:cs="David"/>
          <w:rtl/>
        </w:rPr>
        <w:t xml:space="preserve"> לבתי, והיא</w:t>
      </w:r>
      <w:r w:rsidRPr="00A355EC">
        <w:rPr>
          <w:rFonts w:ascii="David" w:hAnsi="David" w:cs="David" w:hint="cs"/>
          <w:rtl/>
        </w:rPr>
        <w:t xml:space="preserve"> (שווי התכשיט)</w:t>
      </w:r>
      <w:r w:rsidRPr="00A355EC">
        <w:rPr>
          <w:rFonts w:ascii="David" w:hAnsi="David" w:cs="David"/>
          <w:rtl/>
        </w:rPr>
        <w:t xml:space="preserve"> בשנים עשר מנה, ומתה, וקיימו את דבריה!</w:t>
      </w:r>
      <w:r w:rsidRPr="00A355EC">
        <w:rPr>
          <w:rFonts w:ascii="David" w:hAnsi="David" w:cs="David" w:hint="cs"/>
          <w:rtl/>
        </w:rPr>
        <w:t>"2. בני הישיבות (=דעת חכמים שבמשנה) מתייחסים אל ה'אם' (=הלוחמים) כביכול באופן סמלי בתור 'מתה', וכפי שהתייחסו בזמנו עתניאל ותלמידיו אל יהושע בן נון ואל חייליו.</w:t>
      </w:r>
    </w:p>
    <w:p w14:paraId="0D6E78E5"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ומאידך, רבי אליעזר מייצג את דעת יהושע בן נון ורוב ישראל ואת פשטות נבואת זכריה, ולפיה האם רוכל היא 'חיה' ואינה נחשבת למתה, וכפי שהתבאר באריכות במאמר הקודם "בני רוכל והקוצים שבכרם".</w:t>
      </w:r>
    </w:p>
    <w:p w14:paraId="6220AC8D" w14:textId="77777777" w:rsidR="00A355EC" w:rsidRPr="00A355EC" w:rsidRDefault="00A355EC" w:rsidP="00A355EC">
      <w:pPr>
        <w:tabs>
          <w:tab w:val="left" w:pos="1466"/>
        </w:tabs>
        <w:contextualSpacing/>
        <w:rPr>
          <w:rFonts w:ascii="David" w:hAnsi="David" w:cs="David"/>
          <w:rtl/>
        </w:rPr>
      </w:pPr>
    </w:p>
    <w:p w14:paraId="1A888261"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הקושי שבמעשה בבני רוכל והקוצים שבכרם</w:t>
      </w:r>
    </w:p>
    <w:p w14:paraId="01FE7EF6"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במעשה בבני רוכל דעת חכמים (שהלכה כמותם) תואמת להשקפת עתניאל, ולפיה 'האם רוכל' שממשיכה את השקפת יהושע בן נון (=הלוחמים) נחשבת ל'מתה'; ואילו דעת רבי אליעזר ש'האם רוכל' נחשבת ל'חיה' היא דעת מיעוט. אולם השקפה שכזו סותרת את דברי רבי שמעון בירושלמי (</w:t>
      </w:r>
      <w:r w:rsidRPr="00A355EC">
        <w:rPr>
          <w:rFonts w:ascii="David" w:hAnsi="David" w:cs="David"/>
          <w:rtl/>
        </w:rPr>
        <w:t>תענית פ</w:t>
      </w:r>
      <w:r w:rsidRPr="00A355EC">
        <w:rPr>
          <w:rFonts w:ascii="David" w:hAnsi="David" w:cs="David" w:hint="cs"/>
          <w:rtl/>
        </w:rPr>
        <w:t>"</w:t>
      </w:r>
      <w:r w:rsidRPr="00A355EC">
        <w:rPr>
          <w:rFonts w:ascii="David" w:hAnsi="David" w:cs="David"/>
          <w:rtl/>
        </w:rPr>
        <w:t xml:space="preserve">ד </w:t>
      </w:r>
      <w:proofErr w:type="spellStart"/>
      <w:r w:rsidRPr="00A355EC">
        <w:rPr>
          <w:rFonts w:ascii="David" w:hAnsi="David" w:cs="David"/>
          <w:rtl/>
        </w:rPr>
        <w:t>ה</w:t>
      </w:r>
      <w:r w:rsidRPr="00A355EC">
        <w:rPr>
          <w:rFonts w:ascii="David" w:hAnsi="David" w:cs="David" w:hint="cs"/>
          <w:rtl/>
        </w:rPr>
        <w:t>"ד</w:t>
      </w:r>
      <w:proofErr w:type="spellEnd"/>
      <w:r w:rsidRPr="00A355EC">
        <w:rPr>
          <w:rFonts w:ascii="David" w:hAnsi="David" w:cs="David" w:hint="cs"/>
          <w:rtl/>
        </w:rPr>
        <w:t xml:space="preserve">) המספר שרבי עקיבא אמר על בר כוכבא שזהו מלך המשיח, ומסופר שם שחכמי ישראל יעצו לבר כוכבא כיצד לגייס את </w:t>
      </w:r>
      <w:proofErr w:type="spellStart"/>
      <w:r w:rsidRPr="00A355EC">
        <w:rPr>
          <w:rFonts w:ascii="David" w:hAnsi="David" w:cs="David" w:hint="cs"/>
          <w:rtl/>
        </w:rPr>
        <w:t>החייילים</w:t>
      </w:r>
      <w:proofErr w:type="spellEnd"/>
      <w:r w:rsidRPr="00A355EC">
        <w:rPr>
          <w:rFonts w:ascii="David" w:hAnsi="David" w:cs="David" w:hint="cs"/>
          <w:rtl/>
        </w:rPr>
        <w:t xml:space="preserve"> לצבאו, ומכאן שגם דעת חכמים היתה כרבי עקיבא. והרמב"ם למד משם שרבי עקיבא עודד תלמידי חכמים להתגייס לצבא בר כוכבא, ואף רבי עקיבא למרות גדולתו התורנית התגייס בעצמו לצבא בר כוכבא ושימש נושא כלים של בר כוכבא, וכפי שכותב הרמב"ם ב</w:t>
      </w:r>
      <w:r w:rsidRPr="00A355EC">
        <w:rPr>
          <w:rFonts w:ascii="David" w:hAnsi="David" w:cs="David"/>
          <w:rtl/>
        </w:rPr>
        <w:t xml:space="preserve">הלכות מלכים </w:t>
      </w:r>
      <w:r w:rsidRPr="00A355EC">
        <w:rPr>
          <w:rFonts w:ascii="David" w:hAnsi="David" w:cs="David" w:hint="cs"/>
          <w:rtl/>
        </w:rPr>
        <w:t>(</w:t>
      </w:r>
      <w:r w:rsidRPr="00A355EC">
        <w:rPr>
          <w:rFonts w:ascii="David" w:hAnsi="David" w:cs="David"/>
          <w:rtl/>
        </w:rPr>
        <w:t>פרק יא הלכה ג</w:t>
      </w:r>
      <w:r w:rsidRPr="00A355EC">
        <w:rPr>
          <w:rFonts w:ascii="David" w:hAnsi="David" w:cs="David" w:hint="cs"/>
          <w:rtl/>
        </w:rPr>
        <w:t>):</w:t>
      </w:r>
      <w:r w:rsidRPr="00A355EC">
        <w:rPr>
          <w:rFonts w:ascii="David" w:hAnsi="David" w:cs="David"/>
          <w:rtl/>
        </w:rPr>
        <w:t xml:space="preserve"> </w:t>
      </w:r>
      <w:r w:rsidRPr="00A355EC">
        <w:rPr>
          <w:rFonts w:ascii="David" w:hAnsi="David" w:cs="David" w:hint="cs"/>
          <w:rtl/>
        </w:rPr>
        <w:t>"</w:t>
      </w:r>
      <w:r w:rsidRPr="00A355EC">
        <w:rPr>
          <w:rFonts w:ascii="David" w:hAnsi="David" w:cs="David"/>
          <w:rtl/>
        </w:rPr>
        <w:t xml:space="preserve">שהרי רבי עקיבא חכם גדול מחכמי משנה היה, והוא היה נושא כליו של בן </w:t>
      </w:r>
      <w:proofErr w:type="spellStart"/>
      <w:r w:rsidRPr="00A355EC">
        <w:rPr>
          <w:rFonts w:ascii="David" w:hAnsi="David" w:cs="David"/>
          <w:rtl/>
        </w:rPr>
        <w:t>כוזיבא</w:t>
      </w:r>
      <w:proofErr w:type="spellEnd"/>
      <w:r w:rsidRPr="00A355EC">
        <w:rPr>
          <w:rFonts w:ascii="David" w:hAnsi="David" w:cs="David"/>
          <w:rtl/>
        </w:rPr>
        <w:t xml:space="preserve"> המלך</w:t>
      </w:r>
      <w:r w:rsidRPr="00A355EC">
        <w:rPr>
          <w:rFonts w:ascii="David" w:hAnsi="David" w:cs="David" w:hint="cs"/>
          <w:rtl/>
        </w:rPr>
        <w:t>".</w:t>
      </w:r>
    </w:p>
    <w:p w14:paraId="1B594DEE"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ואכן, כדי לחלוק על משמעות המעשה ב'בני רוכל', כאלו כל החכמים שבתוך 'ירושלים של מעלה' מתנגדים לגיוס בני ישיבות לצבא כדי להילחם באויבי ישראל, לפיכך מובא </w:t>
      </w:r>
      <w:proofErr w:type="spellStart"/>
      <w:r w:rsidRPr="00A355EC">
        <w:rPr>
          <w:rFonts w:ascii="David" w:hAnsi="David" w:cs="David" w:hint="cs"/>
          <w:rtl/>
        </w:rPr>
        <w:t>בתוספתא</w:t>
      </w:r>
      <w:proofErr w:type="spellEnd"/>
      <w:r w:rsidRPr="00A355EC">
        <w:rPr>
          <w:rFonts w:ascii="David" w:hAnsi="David" w:cs="David" w:hint="cs"/>
          <w:rtl/>
        </w:rPr>
        <w:t xml:space="preserve"> ובירושלמי ובבבלי </w:t>
      </w:r>
      <w:proofErr w:type="spellStart"/>
      <w:r w:rsidRPr="00A355EC">
        <w:rPr>
          <w:rFonts w:ascii="David" w:hAnsi="David" w:cs="David" w:hint="cs"/>
          <w:rtl/>
        </w:rPr>
        <w:t>וברי"ף</w:t>
      </w:r>
      <w:proofErr w:type="spellEnd"/>
      <w:r w:rsidRPr="00A355EC">
        <w:rPr>
          <w:rFonts w:ascii="David" w:hAnsi="David" w:cs="David" w:hint="cs"/>
          <w:rtl/>
        </w:rPr>
        <w:t xml:space="preserve"> סיפור נוסף: "</w:t>
      </w:r>
      <w:r w:rsidRPr="00A355EC">
        <w:rPr>
          <w:rFonts w:ascii="David" w:hAnsi="David" w:cs="David"/>
          <w:rtl/>
        </w:rPr>
        <w:t>מעשה במרוני אחד שהיה בירושלים</w:t>
      </w:r>
      <w:r w:rsidRPr="00A355EC">
        <w:rPr>
          <w:rFonts w:ascii="David" w:hAnsi="David" w:cs="David" w:hint="cs"/>
          <w:rtl/>
        </w:rPr>
        <w:t>...", והמירוני הזה הוא ר' שמעון בר יוחאי.</w:t>
      </w:r>
    </w:p>
    <w:p w14:paraId="4C0F5D88" w14:textId="77777777" w:rsidR="00A355EC" w:rsidRPr="00A355EC" w:rsidRDefault="00A355EC" w:rsidP="00A355EC">
      <w:pPr>
        <w:tabs>
          <w:tab w:val="left" w:pos="1466"/>
        </w:tabs>
        <w:contextualSpacing/>
        <w:rPr>
          <w:rFonts w:ascii="David" w:hAnsi="David" w:cs="David"/>
          <w:rtl/>
        </w:rPr>
      </w:pPr>
    </w:p>
    <w:p w14:paraId="0484127C"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 xml:space="preserve">ההתייחסות </w:t>
      </w:r>
      <w:proofErr w:type="spellStart"/>
      <w:r w:rsidRPr="00A355EC">
        <w:rPr>
          <w:rFonts w:ascii="David" w:hAnsi="David" w:cs="David" w:hint="cs"/>
          <w:b/>
          <w:bCs/>
          <w:i/>
          <w:iCs/>
          <w:sz w:val="26"/>
          <w:szCs w:val="26"/>
          <w:rtl/>
        </w:rPr>
        <w:t>בתוספתא</w:t>
      </w:r>
      <w:proofErr w:type="spellEnd"/>
      <w:r w:rsidRPr="00A355EC">
        <w:rPr>
          <w:rFonts w:ascii="David" w:hAnsi="David" w:cs="David" w:hint="cs"/>
          <w:b/>
          <w:bCs/>
          <w:i/>
          <w:iCs/>
          <w:sz w:val="26"/>
          <w:szCs w:val="26"/>
          <w:rtl/>
        </w:rPr>
        <w:t xml:space="preserve"> </w:t>
      </w:r>
      <w:proofErr w:type="spellStart"/>
      <w:r w:rsidRPr="00A355EC">
        <w:rPr>
          <w:rFonts w:ascii="David" w:hAnsi="David" w:cs="David" w:hint="cs"/>
          <w:b/>
          <w:bCs/>
          <w:i/>
          <w:iCs/>
          <w:sz w:val="26"/>
          <w:szCs w:val="26"/>
          <w:rtl/>
        </w:rPr>
        <w:t>ובברייתא</w:t>
      </w:r>
      <w:proofErr w:type="spellEnd"/>
      <w:r w:rsidRPr="00A355EC">
        <w:rPr>
          <w:rFonts w:ascii="David" w:hAnsi="David" w:cs="David" w:hint="cs"/>
          <w:b/>
          <w:bCs/>
          <w:i/>
          <w:iCs/>
          <w:sz w:val="26"/>
          <w:szCs w:val="26"/>
          <w:rtl/>
        </w:rPr>
        <w:t xml:space="preserve"> לשיטת רבי שמעון </w:t>
      </w:r>
    </w:p>
    <w:p w14:paraId="59C5DDFC"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רשב"י הוא אחד מחכמי 'ירושלים של מעלה', והוא אינו מפחד לומר את האמת, ששני הצדדים שבעם ישראל חולקים בינם את </w:t>
      </w:r>
      <w:proofErr w:type="spellStart"/>
      <w:r w:rsidRPr="00A355EC">
        <w:rPr>
          <w:rFonts w:ascii="David" w:hAnsi="David" w:cs="David" w:hint="cs"/>
          <w:rtl/>
        </w:rPr>
        <w:t>הנצחון</w:t>
      </w:r>
      <w:proofErr w:type="spellEnd"/>
      <w:r w:rsidRPr="00A355EC">
        <w:rPr>
          <w:rFonts w:ascii="David" w:hAnsi="David" w:cs="David" w:hint="cs"/>
          <w:rtl/>
        </w:rPr>
        <w:t xml:space="preserve"> באופן שווה, הן אלו שעסקו רק בתורה ונשארו בירושלים של מעלה, והן אלו שיצאו מירושלים של מעלה ואחזו בחרב גשמית ונלחמו באויבי ישראל. שהרי גם רבי עקיבא היה גדול בתורה והוא הלך להיות נושא כלים של בר כוכבא.</w:t>
      </w:r>
    </w:p>
    <w:p w14:paraId="16E1FC91"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רשב"י רוצה לתת מתנות לשני הצדדים האלו שקיימים בעם ישראל. אולם אנשי 'ירושלים של מעלה' אינם רוצים להודות באמת הזו, ולכן הם אינם מוכנים לסייע לו </w:t>
      </w:r>
      <w:proofErr w:type="spellStart"/>
      <w:r w:rsidRPr="00A355EC">
        <w:rPr>
          <w:rFonts w:ascii="David" w:hAnsi="David" w:cs="David" w:hint="cs"/>
          <w:rtl/>
        </w:rPr>
        <w:t>בהקנאת</w:t>
      </w:r>
      <w:proofErr w:type="spellEnd"/>
      <w:r w:rsidRPr="00A355EC">
        <w:rPr>
          <w:rFonts w:ascii="David" w:hAnsi="David" w:cs="David" w:hint="cs"/>
          <w:rtl/>
        </w:rPr>
        <w:t xml:space="preserve"> המתנות האלו. דבר זה מרומז בסוגיה בכך שאף אחד מאנשי ירושלים לא היה מוכן לתת את הסודר שלו לרשב"י לצורך הקניית המתנות. כמו כן מרומז שם שרשב"י גם חשד באנשי ירושלים שאם הם ישתפו עימו פעולה ויהיו מוכנים לזכות במתנות עבור המקבלים, הרי שלבסוף הם יגנבו אותם לעצמם.</w:t>
      </w:r>
    </w:p>
    <w:p w14:paraId="76A30F5A"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אמנם מחוץ לירושלים של מעלה נמצאים ה'לוחמים', שהם אנשי אמת והם מוכנים לקבל את האמת של רשב"י, שהמתנות שמגיעות עבור </w:t>
      </w:r>
      <w:proofErr w:type="spellStart"/>
      <w:r w:rsidRPr="00A355EC">
        <w:rPr>
          <w:rFonts w:ascii="David" w:hAnsi="David" w:cs="David" w:hint="cs"/>
          <w:rtl/>
        </w:rPr>
        <w:t>הנצחון</w:t>
      </w:r>
      <w:proofErr w:type="spellEnd"/>
      <w:r w:rsidRPr="00A355EC">
        <w:rPr>
          <w:rFonts w:ascii="David" w:hAnsi="David" w:cs="David" w:hint="cs"/>
          <w:rtl/>
        </w:rPr>
        <w:t xml:space="preserve"> שייכות לשני הצדדים שבעם ישראל. לאלו שבצד 'צפון' ששם ה'שולחן' שמסמל את הצד הגשמי שבעם </w:t>
      </w:r>
      <w:r w:rsidRPr="00A355EC">
        <w:rPr>
          <w:rFonts w:ascii="David" w:hAnsi="David" w:cs="David" w:hint="cs"/>
          <w:rtl/>
        </w:rPr>
        <w:lastRenderedPageBreak/>
        <w:t xml:space="preserve">ישראל, ולאלו שבצד דרום ששם ה'מנורה' שמסמלת את העיסוק בחכמה. ולכן הם מסייעים לרשב"י </w:t>
      </w:r>
      <w:proofErr w:type="spellStart"/>
      <w:r w:rsidRPr="00A355EC">
        <w:rPr>
          <w:rFonts w:ascii="David" w:hAnsi="David" w:cs="David" w:hint="cs"/>
          <w:rtl/>
        </w:rPr>
        <w:t>בהקנאת</w:t>
      </w:r>
      <w:proofErr w:type="spellEnd"/>
      <w:r w:rsidRPr="00A355EC">
        <w:rPr>
          <w:rFonts w:ascii="David" w:hAnsi="David" w:cs="David" w:hint="cs"/>
          <w:rtl/>
        </w:rPr>
        <w:t xml:space="preserve"> המתנות, באמצעות הצד הצפוני של הקרקע ובאמצעות הצד הדרומי של הקרקע. ורשב"י מכיר בכך שהם אנשי אמת, ואינו חושד בהם שאם הם ישתפו עימו בפעולה </w:t>
      </w:r>
      <w:proofErr w:type="spellStart"/>
      <w:r w:rsidRPr="00A355EC">
        <w:rPr>
          <w:rFonts w:ascii="David" w:hAnsi="David" w:cs="David" w:hint="cs"/>
          <w:rtl/>
        </w:rPr>
        <w:t>בזכיה</w:t>
      </w:r>
      <w:proofErr w:type="spellEnd"/>
      <w:r w:rsidRPr="00A355EC">
        <w:rPr>
          <w:rFonts w:ascii="David" w:hAnsi="David" w:cs="David" w:hint="cs"/>
          <w:rtl/>
        </w:rPr>
        <w:t xml:space="preserve"> במתנות עבור המקבלים, הם יגנבו אותם לבסוף לעצמם. רשב"י עושה 'מעשה רב' ובאמצעות הקניית המתנות לשני הצדדים, הוא קובע את האמת שלו ומפרסם אותה ברבים.</w:t>
      </w:r>
    </w:p>
    <w:p w14:paraId="6890F73D" w14:textId="77777777" w:rsidR="00A355EC" w:rsidRPr="00A355EC" w:rsidRDefault="00A355EC" w:rsidP="00A355EC">
      <w:pPr>
        <w:tabs>
          <w:tab w:val="left" w:pos="1466"/>
        </w:tabs>
        <w:contextualSpacing/>
        <w:rPr>
          <w:rFonts w:ascii="David" w:hAnsi="David" w:cs="David"/>
          <w:rtl/>
        </w:rPr>
      </w:pPr>
      <w:proofErr w:type="spellStart"/>
      <w:r w:rsidRPr="00A355EC">
        <w:rPr>
          <w:rFonts w:ascii="David" w:hAnsi="David" w:cs="David" w:hint="cs"/>
          <w:rtl/>
        </w:rPr>
        <w:t>הקנאת</w:t>
      </w:r>
      <w:proofErr w:type="spellEnd"/>
      <w:r w:rsidRPr="00A355EC">
        <w:rPr>
          <w:rFonts w:ascii="David" w:hAnsi="David" w:cs="David" w:hint="cs"/>
          <w:rtl/>
        </w:rPr>
        <w:t xml:space="preserve"> המתנות של רשב"י  שקבעה 'הלכה למעשה' הצליחה, ומעתה גם אנשי 'ירושלים של מעלה' מודים ששני הצדדים שבעם ישראל חולקים את </w:t>
      </w:r>
      <w:proofErr w:type="spellStart"/>
      <w:r w:rsidRPr="00A355EC">
        <w:rPr>
          <w:rFonts w:ascii="David" w:hAnsi="David" w:cs="David" w:hint="cs"/>
          <w:rtl/>
        </w:rPr>
        <w:t>הנצחון</w:t>
      </w:r>
      <w:proofErr w:type="spellEnd"/>
      <w:r w:rsidRPr="00A355EC">
        <w:rPr>
          <w:rFonts w:ascii="David" w:hAnsi="David" w:cs="David" w:hint="cs"/>
          <w:rtl/>
        </w:rPr>
        <w:t xml:space="preserve"> בשווה, הן אלו שמתמידים בלימודם, והן אלו שמבטלים מלימודם ויוצאים להילחם באויבי ישראל. אמנם עדין יש בין אנשי 'ירושלים של מעלה' מעט קיצוניים, שסבורים שהשקפתו התורנית של רשב"י המירוני היא פגומה והוא שקול כ'מת'. אך במעשה </w:t>
      </w:r>
      <w:proofErr w:type="spellStart"/>
      <w:r w:rsidRPr="00A355EC">
        <w:rPr>
          <w:rFonts w:ascii="David" w:hAnsi="David" w:cs="David" w:hint="cs"/>
          <w:rtl/>
        </w:rPr>
        <w:t>שבתוספתא</w:t>
      </w:r>
      <w:proofErr w:type="spellEnd"/>
      <w:r w:rsidRPr="00A355EC">
        <w:rPr>
          <w:rFonts w:ascii="David" w:hAnsi="David" w:cs="David" w:hint="cs"/>
          <w:rtl/>
        </w:rPr>
        <w:t xml:space="preserve"> מי שסבור שהמירוני נחשב ל'מת' נמצא בדעת מיעוט והוא מיוצג על ידי רבי אליעזר, אך לפי דעת חכמים שהיא דעת הרוב </w:t>
      </w:r>
      <w:r w:rsidRPr="00A355EC">
        <w:rPr>
          <w:rFonts w:ascii="David" w:hAnsi="David" w:cs="David"/>
          <w:rtl/>
        </w:rPr>
        <w:t>–</w:t>
      </w:r>
      <w:r w:rsidRPr="00A355EC">
        <w:rPr>
          <w:rFonts w:ascii="David" w:hAnsi="David" w:cs="David" w:hint="cs"/>
          <w:rtl/>
        </w:rPr>
        <w:t xml:space="preserve"> רבי שמעון המירוני הוא 'בריא', וההשקפה שלו היא 'השקפה בריאה'.</w:t>
      </w:r>
    </w:p>
    <w:p w14:paraId="1C69CFA1" w14:textId="77777777" w:rsidR="00A355EC" w:rsidRPr="00A355EC" w:rsidRDefault="00A355EC" w:rsidP="00A355EC">
      <w:pPr>
        <w:tabs>
          <w:tab w:val="left" w:pos="1466"/>
        </w:tabs>
        <w:contextualSpacing/>
        <w:rPr>
          <w:rFonts w:ascii="David" w:hAnsi="David" w:cs="David"/>
          <w:rtl/>
        </w:rPr>
      </w:pPr>
    </w:p>
    <w:p w14:paraId="224F1F9E"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 xml:space="preserve">שיטת </w:t>
      </w:r>
      <w:proofErr w:type="spellStart"/>
      <w:r w:rsidRPr="00A355EC">
        <w:rPr>
          <w:rFonts w:ascii="David" w:hAnsi="David" w:cs="David" w:hint="cs"/>
          <w:b/>
          <w:bCs/>
          <w:i/>
          <w:iCs/>
          <w:sz w:val="26"/>
          <w:szCs w:val="26"/>
          <w:rtl/>
        </w:rPr>
        <w:t>הרי"ף</w:t>
      </w:r>
      <w:proofErr w:type="spellEnd"/>
    </w:p>
    <w:p w14:paraId="507CB8DA" w14:textId="77777777" w:rsidR="00A355EC" w:rsidRPr="00A355EC" w:rsidRDefault="00A355EC" w:rsidP="00A355EC">
      <w:pPr>
        <w:tabs>
          <w:tab w:val="left" w:pos="1466"/>
        </w:tabs>
        <w:contextualSpacing/>
        <w:rPr>
          <w:rFonts w:ascii="David" w:hAnsi="David" w:cs="David"/>
          <w:rtl/>
        </w:rPr>
      </w:pPr>
      <w:proofErr w:type="spellStart"/>
      <w:r w:rsidRPr="00A355EC">
        <w:rPr>
          <w:rFonts w:ascii="David" w:hAnsi="David" w:cs="David" w:hint="cs"/>
          <w:rtl/>
        </w:rPr>
        <w:t>הרי"ף</w:t>
      </w:r>
      <w:proofErr w:type="spellEnd"/>
      <w:r w:rsidRPr="00A355EC">
        <w:rPr>
          <w:rFonts w:ascii="David" w:hAnsi="David" w:cs="David" w:hint="cs"/>
          <w:rtl/>
        </w:rPr>
        <w:t xml:space="preserve"> מקצר בהלכותיו ומביא מתוך התלמוד רק דברים שניתן ללמוד מהם הלכה למעשה, ובתחילת המאמר התקשינו מדוע הביא </w:t>
      </w:r>
      <w:proofErr w:type="spellStart"/>
      <w:r w:rsidRPr="00A355EC">
        <w:rPr>
          <w:rFonts w:ascii="David" w:hAnsi="David" w:cs="David" w:hint="cs"/>
          <w:rtl/>
        </w:rPr>
        <w:t>הרי"ף</w:t>
      </w:r>
      <w:proofErr w:type="spellEnd"/>
      <w:r w:rsidRPr="00A355EC">
        <w:rPr>
          <w:rFonts w:ascii="David" w:hAnsi="David" w:cs="David" w:hint="cs"/>
          <w:rtl/>
        </w:rPr>
        <w:t xml:space="preserve"> את המעשה </w:t>
      </w:r>
      <w:proofErr w:type="spellStart"/>
      <w:r w:rsidRPr="00A355EC">
        <w:rPr>
          <w:rFonts w:ascii="David" w:hAnsi="David" w:cs="David" w:hint="cs"/>
          <w:rtl/>
        </w:rPr>
        <w:t>במירוני</w:t>
      </w:r>
      <w:proofErr w:type="spellEnd"/>
      <w:r w:rsidRPr="00A355EC">
        <w:rPr>
          <w:rFonts w:ascii="David" w:hAnsi="David" w:cs="David" w:hint="cs"/>
          <w:rtl/>
        </w:rPr>
        <w:t xml:space="preserve">, והרי לא למדים ממנו הלכה בדיני 'קנין שכיב מרע'. אמנם לפי מה שהתבאר </w:t>
      </w:r>
      <w:proofErr w:type="spellStart"/>
      <w:r w:rsidRPr="00A355EC">
        <w:rPr>
          <w:rFonts w:ascii="David" w:hAnsi="David" w:cs="David" w:hint="cs"/>
          <w:rtl/>
        </w:rPr>
        <w:t>הרי"ף</w:t>
      </w:r>
      <w:proofErr w:type="spellEnd"/>
      <w:r w:rsidRPr="00A355EC">
        <w:rPr>
          <w:rFonts w:ascii="David" w:hAnsi="David" w:cs="David" w:hint="cs"/>
          <w:rtl/>
        </w:rPr>
        <w:t xml:space="preserve"> הביא אותו בהלכותיו משום שניתן ללמוד ממנו שאין הלכה כמשנה המרמזת שהשקפתו של עתניאל בן קנז היא דעת חכמים שהיא דעת הרוב, אלא הלכה </w:t>
      </w:r>
      <w:proofErr w:type="spellStart"/>
      <w:r w:rsidRPr="00A355EC">
        <w:rPr>
          <w:rFonts w:ascii="David" w:hAnsi="David" w:cs="David" w:hint="cs"/>
          <w:rtl/>
        </w:rPr>
        <w:t>כתוספתא</w:t>
      </w:r>
      <w:proofErr w:type="spellEnd"/>
      <w:r w:rsidRPr="00A355EC">
        <w:rPr>
          <w:rFonts w:ascii="David" w:hAnsi="David" w:cs="David" w:hint="cs"/>
          <w:rtl/>
        </w:rPr>
        <w:t xml:space="preserve"> ששיטת יהושע בן נון היא דעת חכמים שהיא דעת הרוב, ולפיה גם לומדי תורה יכולים וצריכים להתגייס לצבא להילחם כנגד אויבי ישראל.</w:t>
      </w:r>
    </w:p>
    <w:p w14:paraId="5BCC75D6" w14:textId="77777777" w:rsidR="00A355EC" w:rsidRPr="00A355EC" w:rsidRDefault="00A355EC" w:rsidP="00A355EC">
      <w:pPr>
        <w:tabs>
          <w:tab w:val="left" w:pos="1466"/>
        </w:tabs>
        <w:contextualSpacing/>
        <w:rPr>
          <w:rFonts w:ascii="David" w:hAnsi="David" w:cs="David"/>
          <w:rtl/>
        </w:rPr>
      </w:pPr>
    </w:p>
    <w:p w14:paraId="4DD16922" w14:textId="77777777" w:rsidR="00A355EC" w:rsidRPr="00A355EC" w:rsidRDefault="00A355EC" w:rsidP="00A355EC">
      <w:pPr>
        <w:tabs>
          <w:tab w:val="left" w:pos="1466"/>
        </w:tabs>
        <w:contextualSpacing/>
        <w:rPr>
          <w:rFonts w:ascii="David" w:hAnsi="David" w:cs="David"/>
          <w:b/>
          <w:bCs/>
          <w:i/>
          <w:iCs/>
          <w:sz w:val="26"/>
          <w:szCs w:val="26"/>
          <w:rtl/>
        </w:rPr>
      </w:pPr>
      <w:r w:rsidRPr="00A355EC">
        <w:rPr>
          <w:rFonts w:ascii="David" w:hAnsi="David" w:cs="David" w:hint="cs"/>
          <w:b/>
          <w:bCs/>
          <w:i/>
          <w:iCs/>
          <w:sz w:val="26"/>
          <w:szCs w:val="26"/>
          <w:rtl/>
        </w:rPr>
        <w:t>שיטת הרמב"ם בהבנת יחסו של רבי עקיבא לרשב"י</w:t>
      </w:r>
    </w:p>
    <w:p w14:paraId="75BB27BF"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בירושלמי (</w:t>
      </w:r>
      <w:r w:rsidRPr="00A355EC">
        <w:rPr>
          <w:rFonts w:ascii="David" w:hAnsi="David" w:cs="David"/>
          <w:rtl/>
        </w:rPr>
        <w:t>סנהדרין פ</w:t>
      </w:r>
      <w:r w:rsidRPr="00A355EC">
        <w:rPr>
          <w:rFonts w:ascii="David" w:hAnsi="David" w:cs="David" w:hint="cs"/>
          <w:rtl/>
        </w:rPr>
        <w:t>"</w:t>
      </w:r>
      <w:r w:rsidRPr="00A355EC">
        <w:rPr>
          <w:rFonts w:ascii="David" w:hAnsi="David" w:cs="David"/>
          <w:rtl/>
        </w:rPr>
        <w:t xml:space="preserve">א </w:t>
      </w:r>
      <w:proofErr w:type="spellStart"/>
      <w:r w:rsidRPr="00A355EC">
        <w:rPr>
          <w:rFonts w:ascii="David" w:hAnsi="David" w:cs="David" w:hint="cs"/>
          <w:rtl/>
        </w:rPr>
        <w:t>ה"</w:t>
      </w:r>
      <w:r w:rsidRPr="00A355EC">
        <w:rPr>
          <w:rFonts w:ascii="David" w:hAnsi="David" w:cs="David"/>
          <w:rtl/>
        </w:rPr>
        <w:t>ב</w:t>
      </w:r>
      <w:proofErr w:type="spellEnd"/>
      <w:r w:rsidRPr="00A355EC">
        <w:rPr>
          <w:rFonts w:ascii="David" w:hAnsi="David" w:cs="David" w:hint="cs"/>
          <w:rtl/>
        </w:rPr>
        <w:t>) מובא שרבי עקיבא סמך את רבי מאיר ואת רבי שמעון לדיינים, ומוסיפים ומספרים מה קבע רבי עקיבא: "</w:t>
      </w:r>
      <w:r w:rsidRPr="00A355EC">
        <w:rPr>
          <w:rFonts w:ascii="David" w:hAnsi="David" w:cs="David"/>
          <w:rtl/>
        </w:rPr>
        <w:t>אמר ישב רבי מאיר תחילה</w:t>
      </w:r>
      <w:r w:rsidRPr="00A355EC">
        <w:rPr>
          <w:rFonts w:ascii="David" w:hAnsi="David" w:cs="David" w:hint="cs"/>
          <w:rtl/>
        </w:rPr>
        <w:t>,</w:t>
      </w:r>
      <w:r w:rsidRPr="00A355EC">
        <w:rPr>
          <w:rFonts w:ascii="David" w:hAnsi="David" w:cs="David"/>
          <w:rtl/>
        </w:rPr>
        <w:t xml:space="preserve"> </w:t>
      </w:r>
      <w:proofErr w:type="spellStart"/>
      <w:r w:rsidRPr="00A355EC">
        <w:rPr>
          <w:rFonts w:ascii="David" w:hAnsi="David" w:cs="David"/>
          <w:rtl/>
        </w:rPr>
        <w:t>נתכרכמו</w:t>
      </w:r>
      <w:proofErr w:type="spellEnd"/>
      <w:r w:rsidRPr="00A355EC">
        <w:rPr>
          <w:rFonts w:ascii="David" w:hAnsi="David" w:cs="David"/>
          <w:rtl/>
        </w:rPr>
        <w:t xml:space="preserve"> פני ר' שמעון</w:t>
      </w:r>
      <w:r w:rsidRPr="00A355EC">
        <w:rPr>
          <w:rFonts w:ascii="David" w:hAnsi="David" w:cs="David" w:hint="cs"/>
          <w:rtl/>
        </w:rPr>
        <w:t>,</w:t>
      </w:r>
      <w:r w:rsidRPr="00A355EC">
        <w:rPr>
          <w:rFonts w:ascii="David" w:hAnsi="David" w:cs="David"/>
          <w:rtl/>
        </w:rPr>
        <w:t xml:space="preserve"> אמר לו רבי עקיבה</w:t>
      </w:r>
      <w:r w:rsidRPr="00A355EC">
        <w:rPr>
          <w:rFonts w:ascii="David" w:hAnsi="David" w:cs="David" w:hint="cs"/>
          <w:rtl/>
        </w:rPr>
        <w:t xml:space="preserve"> </w:t>
      </w:r>
      <w:r w:rsidRPr="00A355EC">
        <w:rPr>
          <w:rFonts w:ascii="David" w:hAnsi="David" w:cs="David"/>
          <w:rtl/>
        </w:rPr>
        <w:t xml:space="preserve">– </w:t>
      </w:r>
      <w:r w:rsidRPr="00A355EC">
        <w:rPr>
          <w:rFonts w:ascii="David" w:hAnsi="David" w:cs="David" w:hint="cs"/>
          <w:rtl/>
        </w:rPr>
        <w:t>'</w:t>
      </w:r>
      <w:r w:rsidRPr="00A355EC">
        <w:rPr>
          <w:rFonts w:ascii="David" w:hAnsi="David" w:cs="David"/>
          <w:rtl/>
        </w:rPr>
        <w:t xml:space="preserve">דייך שאני ובוראך </w:t>
      </w:r>
      <w:proofErr w:type="spellStart"/>
      <w:r w:rsidRPr="00A355EC">
        <w:rPr>
          <w:rFonts w:ascii="David" w:hAnsi="David" w:cs="David"/>
          <w:rtl/>
        </w:rPr>
        <w:t>מכירין</w:t>
      </w:r>
      <w:proofErr w:type="spellEnd"/>
      <w:r w:rsidRPr="00A355EC">
        <w:rPr>
          <w:rFonts w:ascii="David" w:hAnsi="David" w:cs="David"/>
          <w:rtl/>
        </w:rPr>
        <w:t xml:space="preserve"> כוחך</w:t>
      </w:r>
      <w:r w:rsidRPr="00A355EC">
        <w:rPr>
          <w:rFonts w:ascii="David" w:hAnsi="David" w:cs="David" w:hint="cs"/>
          <w:rtl/>
        </w:rPr>
        <w:t>'</w:t>
      </w:r>
      <w:r w:rsidRPr="00A355EC">
        <w:rPr>
          <w:rFonts w:ascii="David" w:hAnsi="David" w:cs="David"/>
          <w:rtl/>
        </w:rPr>
        <w:t>.</w:t>
      </w:r>
      <w:r w:rsidRPr="00A355EC">
        <w:rPr>
          <w:rFonts w:ascii="David" w:hAnsi="David" w:cs="David" w:hint="cs"/>
          <w:rtl/>
        </w:rPr>
        <w:t xml:space="preserve"> כאשר כתב הרמב"ם את פירוש המשנה הבין הרמב"ם את דברי הירושלמי כפשוטם, וכתב שרבי מאיר ורבי שמעון היו תלמידים של רבי עקיבא. אך כאשר כתב הרמב"ם את הלכותיו, הוא כתב בהקדמתו שרבי מאיר היה תלמיד של רבי עקיבא, אך רבי שמעון היה תלמיד של רבי ישמעאל. וצריך לבאר מה היתה הבנתו החדשה של הרמב"ם בדברי הירושלמי הנ"ל </w:t>
      </w:r>
      <w:proofErr w:type="spellStart"/>
      <w:r w:rsidRPr="00A355EC">
        <w:rPr>
          <w:rFonts w:ascii="David" w:hAnsi="David" w:cs="David" w:hint="cs"/>
          <w:rtl/>
        </w:rPr>
        <w:t>בענין</w:t>
      </w:r>
      <w:proofErr w:type="spellEnd"/>
      <w:r w:rsidRPr="00A355EC">
        <w:rPr>
          <w:rFonts w:ascii="David" w:hAnsi="David" w:cs="David" w:hint="cs"/>
          <w:rtl/>
        </w:rPr>
        <w:t xml:space="preserve"> המינוי שמינה רבי עקיבא את רבי שמעון.</w:t>
      </w:r>
    </w:p>
    <w:p w14:paraId="27F0C7E5"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 xml:space="preserve">ונראה שהרמב"ם הבין שהירושלמי מתייחס לסתירה שבין המשנה לבין </w:t>
      </w:r>
      <w:proofErr w:type="spellStart"/>
      <w:r w:rsidRPr="00A355EC">
        <w:rPr>
          <w:rFonts w:ascii="David" w:hAnsi="David" w:cs="David" w:hint="cs"/>
          <w:rtl/>
        </w:rPr>
        <w:t>הברייתא</w:t>
      </w:r>
      <w:proofErr w:type="spellEnd"/>
      <w:r w:rsidRPr="00A355EC">
        <w:rPr>
          <w:rFonts w:ascii="David" w:hAnsi="David" w:cs="David" w:hint="cs"/>
          <w:rtl/>
        </w:rPr>
        <w:t xml:space="preserve"> </w:t>
      </w:r>
      <w:proofErr w:type="spellStart"/>
      <w:r w:rsidRPr="00A355EC">
        <w:rPr>
          <w:rFonts w:ascii="David" w:hAnsi="David" w:cs="David" w:hint="cs"/>
          <w:rtl/>
        </w:rPr>
        <w:t>בענין</w:t>
      </w:r>
      <w:proofErr w:type="spellEnd"/>
      <w:r w:rsidRPr="00A355EC">
        <w:rPr>
          <w:rFonts w:ascii="David" w:hAnsi="David" w:cs="David" w:hint="cs"/>
          <w:rtl/>
        </w:rPr>
        <w:t xml:space="preserve"> התגייסות לומדי תורה לצבא. ידוע שסתם משנה היא בשיטת רבי מאיר, ולפי 'המעשה בבני רוכל' שבמשנה, דעת רוב חכמי ישראל היא כשיטת עתניאל שלימוד התורה יכבוש את הארץ ויהושע בן נון ורוב ישראל שמתגייסים לצבאו טועים. ואילו לפי 'המעשה </w:t>
      </w:r>
      <w:proofErr w:type="spellStart"/>
      <w:r w:rsidRPr="00A355EC">
        <w:rPr>
          <w:rFonts w:ascii="David" w:hAnsi="David" w:cs="David" w:hint="cs"/>
          <w:rtl/>
        </w:rPr>
        <w:t>במירוני</w:t>
      </w:r>
      <w:proofErr w:type="spellEnd"/>
      <w:r w:rsidRPr="00A355EC">
        <w:rPr>
          <w:rFonts w:ascii="David" w:hAnsi="David" w:cs="David" w:hint="cs"/>
          <w:rtl/>
        </w:rPr>
        <w:t xml:space="preserve">' </w:t>
      </w:r>
      <w:proofErr w:type="spellStart"/>
      <w:r w:rsidRPr="00A355EC">
        <w:rPr>
          <w:rFonts w:ascii="David" w:hAnsi="David" w:cs="David" w:hint="cs"/>
          <w:rtl/>
        </w:rPr>
        <w:t>שבתוספתא</w:t>
      </w:r>
      <w:proofErr w:type="spellEnd"/>
      <w:r w:rsidRPr="00A355EC">
        <w:rPr>
          <w:rFonts w:ascii="David" w:hAnsi="David" w:cs="David" w:hint="cs"/>
          <w:rtl/>
        </w:rPr>
        <w:t xml:space="preserve"> דעת רוב חכמי ישראל היא כמו רבי שמעון המירוני, שיהושע בן נון ורוב ישראל שמתגייסים לצבאו צודקים, ואילו מי שמתנגד לכך הוא טועה ונמצא בדעת מיעוט.</w:t>
      </w:r>
    </w:p>
    <w:p w14:paraId="5B315942" w14:textId="77777777" w:rsidR="00A355EC" w:rsidRPr="00A355EC" w:rsidRDefault="00A355EC" w:rsidP="00A355EC">
      <w:pPr>
        <w:tabs>
          <w:tab w:val="left" w:pos="1466"/>
        </w:tabs>
        <w:contextualSpacing/>
        <w:rPr>
          <w:rFonts w:ascii="David" w:hAnsi="David" w:cs="David"/>
          <w:rtl/>
        </w:rPr>
      </w:pPr>
      <w:r w:rsidRPr="00A355EC">
        <w:rPr>
          <w:rFonts w:ascii="David" w:hAnsi="David" w:cs="David" w:hint="cs"/>
          <w:rtl/>
        </w:rPr>
        <w:t>ונראה שהרמב"ם הניח שמדובר בדיון שהיה ב'ישיבה של מעלה' שבשמים. דעת רבי עקיבא היתה שמתחילה כדאי שתהיה נפוצה שיטת רבי מאיר, כדי שבגאולה העתידה יהיה מתחילה מספר גדול ועצום של לומדי תורה, וזו כוונת דברי רבי עקיבא באומרו: "</w:t>
      </w:r>
      <w:r w:rsidRPr="00A355EC">
        <w:rPr>
          <w:rFonts w:ascii="David" w:hAnsi="David" w:cs="David"/>
          <w:rtl/>
        </w:rPr>
        <w:t>ישב רבי מאיר תחילה</w:t>
      </w:r>
      <w:r w:rsidRPr="00A355EC">
        <w:rPr>
          <w:rFonts w:ascii="David" w:hAnsi="David" w:cs="David" w:hint="cs"/>
          <w:rtl/>
        </w:rPr>
        <w:t xml:space="preserve">". ולכן נקבעה במשנה שיטת רבי מאיר שהתאימה להשקפת עתניאל. רבי שמעון חש נפגע מכך, משום שידע שהאמת </w:t>
      </w:r>
      <w:proofErr w:type="spellStart"/>
      <w:r w:rsidRPr="00A355EC">
        <w:rPr>
          <w:rFonts w:ascii="David" w:hAnsi="David" w:cs="David" w:hint="cs"/>
          <w:rtl/>
        </w:rPr>
        <w:t>איתו</w:t>
      </w:r>
      <w:proofErr w:type="spellEnd"/>
      <w:r w:rsidRPr="00A355EC">
        <w:rPr>
          <w:rFonts w:ascii="David" w:hAnsi="David" w:cs="David" w:hint="cs"/>
          <w:rtl/>
        </w:rPr>
        <w:t xml:space="preserve"> שרבי עקיבא עודד לומדי תורה להתגייס לצבא בר כוכבא, ולכן מספר הירושלמי: "</w:t>
      </w:r>
      <w:proofErr w:type="spellStart"/>
      <w:r w:rsidRPr="00A355EC">
        <w:rPr>
          <w:rFonts w:ascii="David" w:hAnsi="David" w:cs="David"/>
          <w:rtl/>
        </w:rPr>
        <w:t>נתכרכמו</w:t>
      </w:r>
      <w:proofErr w:type="spellEnd"/>
      <w:r w:rsidRPr="00A355EC">
        <w:rPr>
          <w:rFonts w:ascii="David" w:hAnsi="David" w:cs="David"/>
          <w:rtl/>
        </w:rPr>
        <w:t xml:space="preserve"> פני ר' שמעון</w:t>
      </w:r>
      <w:r w:rsidRPr="00A355EC">
        <w:rPr>
          <w:rFonts w:ascii="David" w:hAnsi="David" w:cs="David" w:hint="cs"/>
          <w:rtl/>
        </w:rPr>
        <w:t>". אמנם רבי עקיבא עודד שם ב'ישיבה של מעלה' את רבי שמעון ואמר לו: "</w:t>
      </w:r>
      <w:r w:rsidRPr="00A355EC">
        <w:rPr>
          <w:rFonts w:ascii="David" w:hAnsi="David" w:cs="David"/>
          <w:rtl/>
        </w:rPr>
        <w:t xml:space="preserve">דייך שאני ובוראך </w:t>
      </w:r>
      <w:proofErr w:type="spellStart"/>
      <w:r w:rsidRPr="00A355EC">
        <w:rPr>
          <w:rFonts w:ascii="David" w:hAnsi="David" w:cs="David"/>
          <w:rtl/>
        </w:rPr>
        <w:t>מכירין</w:t>
      </w:r>
      <w:proofErr w:type="spellEnd"/>
      <w:r w:rsidRPr="00A355EC">
        <w:rPr>
          <w:rFonts w:ascii="David" w:hAnsi="David" w:cs="David"/>
          <w:rtl/>
        </w:rPr>
        <w:t xml:space="preserve"> כוחך</w:t>
      </w:r>
      <w:r w:rsidRPr="00A355EC">
        <w:rPr>
          <w:rFonts w:ascii="David" w:hAnsi="David" w:cs="David" w:hint="cs"/>
          <w:rtl/>
        </w:rPr>
        <w:t>'</w:t>
      </w:r>
      <w:r w:rsidRPr="00A355EC">
        <w:rPr>
          <w:rFonts w:ascii="David" w:hAnsi="David" w:cs="David"/>
          <w:rtl/>
        </w:rPr>
        <w:t>.</w:t>
      </w:r>
      <w:r w:rsidRPr="00A355EC">
        <w:rPr>
          <w:rFonts w:ascii="David" w:hAnsi="David" w:cs="David" w:hint="cs"/>
          <w:rtl/>
        </w:rPr>
        <w:t xml:space="preserve"> והיינו, למרות שמתחילה תקדים שיטת רבי מאיר והיא תהיה השיטה הנפוצה בין לומדי התורה, אך כוחו של רבי שמעון הוא גדול, והשיטה של רבי שמעון תחדור אחר כך לעולם התורה והיא תהפוך לשיטת הנפוצה בין לומדי התורה. ולפי שיטת רבי שמעון המירוני רבי עקיבא המשיך את דרכו של יהושע בן נון, ועודד לומדי תורה להתגייס לצבא ולהילחם באויבי ישראל. ואכן הרמב"ם קבע את שיטה זו  בהלכותיו, וכתב שרבי עקיבא עצמו למרות גדולתו התורנית התגייס לצבא בר כוכבא ושימש נושא כלים של בר כוכבא, וז"ל: (</w:t>
      </w:r>
      <w:r w:rsidRPr="00A355EC">
        <w:rPr>
          <w:rFonts w:ascii="David" w:hAnsi="David" w:cs="David"/>
          <w:rtl/>
        </w:rPr>
        <w:t>הלכות מלכים יא</w:t>
      </w:r>
      <w:r w:rsidRPr="00A355EC">
        <w:rPr>
          <w:rFonts w:ascii="David" w:hAnsi="David" w:cs="David" w:hint="cs"/>
          <w:rtl/>
        </w:rPr>
        <w:t>,</w:t>
      </w:r>
      <w:r w:rsidRPr="00A355EC">
        <w:rPr>
          <w:rFonts w:ascii="David" w:hAnsi="David" w:cs="David"/>
          <w:rtl/>
        </w:rPr>
        <w:t xml:space="preserve"> ג</w:t>
      </w:r>
      <w:r w:rsidRPr="00A355EC">
        <w:rPr>
          <w:rFonts w:ascii="David" w:hAnsi="David" w:cs="David" w:hint="cs"/>
          <w:rtl/>
        </w:rPr>
        <w:t>):</w:t>
      </w:r>
      <w:r w:rsidRPr="00A355EC">
        <w:rPr>
          <w:rFonts w:ascii="David" w:hAnsi="David" w:cs="David"/>
          <w:rtl/>
        </w:rPr>
        <w:t xml:space="preserve"> </w:t>
      </w:r>
      <w:r w:rsidRPr="00A355EC">
        <w:rPr>
          <w:rFonts w:ascii="David" w:hAnsi="David" w:cs="David" w:hint="cs"/>
          <w:rtl/>
        </w:rPr>
        <w:t>"</w:t>
      </w:r>
      <w:r w:rsidRPr="00A355EC">
        <w:rPr>
          <w:rFonts w:ascii="David" w:hAnsi="David" w:cs="David"/>
          <w:rtl/>
        </w:rPr>
        <w:t xml:space="preserve">שהרי רבי עקיבא חכם גדול מחכמי משנה היה, והוא היה נושא כליו של בן </w:t>
      </w:r>
      <w:proofErr w:type="spellStart"/>
      <w:r w:rsidRPr="00A355EC">
        <w:rPr>
          <w:rFonts w:ascii="David" w:hAnsi="David" w:cs="David"/>
          <w:rtl/>
        </w:rPr>
        <w:t>כוזיבא</w:t>
      </w:r>
      <w:proofErr w:type="spellEnd"/>
      <w:r w:rsidRPr="00A355EC">
        <w:rPr>
          <w:rFonts w:ascii="David" w:hAnsi="David" w:cs="David"/>
          <w:rtl/>
        </w:rPr>
        <w:t xml:space="preserve"> המלך</w:t>
      </w:r>
      <w:r w:rsidRPr="00A355EC">
        <w:rPr>
          <w:rFonts w:ascii="David" w:hAnsi="David" w:cs="David" w:hint="cs"/>
          <w:rtl/>
        </w:rPr>
        <w:t>".</w:t>
      </w:r>
    </w:p>
    <w:p w14:paraId="0F3A143E" w14:textId="77777777" w:rsidR="00A355EC" w:rsidRPr="00A355EC" w:rsidRDefault="00A355EC" w:rsidP="00A355EC">
      <w:pPr>
        <w:tabs>
          <w:tab w:val="left" w:pos="1466"/>
        </w:tabs>
        <w:contextualSpacing/>
        <w:rPr>
          <w:rFonts w:ascii="David" w:hAnsi="David" w:cs="David"/>
          <w:sz w:val="22"/>
          <w:szCs w:val="22"/>
          <w:rtl/>
        </w:rPr>
      </w:pPr>
    </w:p>
    <w:p w14:paraId="42274B24" w14:textId="77777777" w:rsidR="00A355EC" w:rsidRPr="00A355EC" w:rsidRDefault="00A355EC" w:rsidP="00A355EC">
      <w:pPr>
        <w:tabs>
          <w:tab w:val="left" w:pos="1466"/>
        </w:tabs>
        <w:contextualSpacing/>
        <w:rPr>
          <w:rFonts w:ascii="David" w:hAnsi="David" w:cs="David"/>
          <w:sz w:val="10"/>
          <w:szCs w:val="10"/>
          <w:rtl/>
        </w:rPr>
      </w:pPr>
      <w:r w:rsidRPr="00A355EC">
        <w:rPr>
          <w:rFonts w:ascii="David" w:hAnsi="David" w:cs="David" w:hint="cs"/>
          <w:sz w:val="10"/>
          <w:szCs w:val="10"/>
          <w:rtl/>
        </w:rPr>
        <w:t>______________________________________________________</w:t>
      </w:r>
    </w:p>
    <w:p w14:paraId="787A7BE4" w14:textId="77777777" w:rsidR="00A355EC" w:rsidRPr="00A355EC" w:rsidRDefault="00A355EC" w:rsidP="00A355EC">
      <w:pPr>
        <w:tabs>
          <w:tab w:val="left" w:pos="1466"/>
        </w:tabs>
        <w:contextualSpacing/>
        <w:rPr>
          <w:rFonts w:ascii="David" w:hAnsi="David" w:cs="David"/>
          <w:sz w:val="10"/>
          <w:szCs w:val="10"/>
          <w:rtl/>
        </w:rPr>
      </w:pPr>
    </w:p>
    <w:p w14:paraId="0DEFD58A" w14:textId="77777777" w:rsidR="00A355EC" w:rsidRPr="00A355EC" w:rsidRDefault="00A355EC" w:rsidP="00A355EC">
      <w:pPr>
        <w:ind w:left="142" w:hanging="142"/>
        <w:contextualSpacing/>
        <w:rPr>
          <w:rFonts w:ascii="David" w:hAnsi="David" w:cs="David"/>
          <w:sz w:val="22"/>
          <w:szCs w:val="22"/>
          <w:rtl/>
        </w:rPr>
      </w:pPr>
      <w:r w:rsidRPr="00A355EC">
        <w:rPr>
          <w:rFonts w:ascii="David" w:hAnsi="David" w:cs="David"/>
          <w:sz w:val="22"/>
          <w:szCs w:val="22"/>
          <w:vertAlign w:val="superscript"/>
        </w:rPr>
        <w:footnoteRef/>
      </w:r>
      <w:r w:rsidRPr="00A355EC">
        <w:rPr>
          <w:rFonts w:ascii="David" w:hAnsi="David" w:cs="David"/>
          <w:sz w:val="22"/>
          <w:szCs w:val="22"/>
          <w:rtl/>
        </w:rPr>
        <w:t xml:space="preserve"> </w:t>
      </w:r>
      <w:r w:rsidRPr="00A355EC">
        <w:rPr>
          <w:rFonts w:ascii="David" w:hAnsi="David" w:cs="David" w:hint="cs"/>
          <w:sz w:val="22"/>
          <w:szCs w:val="22"/>
          <w:rtl/>
        </w:rPr>
        <w:t xml:space="preserve"> וראו גם </w:t>
      </w:r>
      <w:r w:rsidRPr="00A355EC">
        <w:rPr>
          <w:rFonts w:ascii="David" w:hAnsi="David" w:cs="David"/>
          <w:sz w:val="22"/>
          <w:szCs w:val="22"/>
          <w:rtl/>
        </w:rPr>
        <w:t xml:space="preserve">ספר העיטור </w:t>
      </w:r>
      <w:r w:rsidRPr="00A355EC">
        <w:rPr>
          <w:rFonts w:ascii="David" w:hAnsi="David" w:cs="David" w:hint="cs"/>
          <w:sz w:val="22"/>
          <w:szCs w:val="22"/>
          <w:rtl/>
        </w:rPr>
        <w:t>(</w:t>
      </w:r>
      <w:r w:rsidRPr="00A355EC">
        <w:rPr>
          <w:rFonts w:ascii="David" w:hAnsi="David" w:cs="David"/>
          <w:sz w:val="22"/>
          <w:szCs w:val="22"/>
          <w:rtl/>
        </w:rPr>
        <w:t>מאמר ג - אגב דף טו טור ד</w:t>
      </w:r>
      <w:r w:rsidRPr="00A355EC">
        <w:rPr>
          <w:rFonts w:ascii="David" w:hAnsi="David" w:cs="David" w:hint="cs"/>
          <w:sz w:val="22"/>
          <w:szCs w:val="22"/>
          <w:rtl/>
        </w:rPr>
        <w:t>) וראו</w:t>
      </w:r>
      <w:r w:rsidRPr="00A355EC">
        <w:rPr>
          <w:rFonts w:ascii="David" w:hAnsi="David" w:cs="David"/>
          <w:sz w:val="22"/>
          <w:szCs w:val="22"/>
          <w:rtl/>
        </w:rPr>
        <w:t xml:space="preserve"> </w:t>
      </w:r>
      <w:r w:rsidRPr="00A355EC">
        <w:rPr>
          <w:rFonts w:ascii="David" w:hAnsi="David" w:cs="David" w:hint="cs"/>
          <w:sz w:val="22"/>
          <w:szCs w:val="22"/>
          <w:rtl/>
        </w:rPr>
        <w:t>עוד ב</w:t>
      </w:r>
      <w:r w:rsidRPr="00A355EC">
        <w:rPr>
          <w:rFonts w:ascii="David" w:hAnsi="David" w:cs="David"/>
          <w:sz w:val="22"/>
          <w:szCs w:val="22"/>
          <w:rtl/>
        </w:rPr>
        <w:t xml:space="preserve">גידולי תרומה </w:t>
      </w:r>
      <w:r w:rsidRPr="00A355EC">
        <w:rPr>
          <w:rFonts w:ascii="David" w:hAnsi="David" w:cs="David" w:hint="cs"/>
          <w:sz w:val="22"/>
          <w:szCs w:val="22"/>
          <w:rtl/>
        </w:rPr>
        <w:t>(</w:t>
      </w:r>
      <w:r w:rsidRPr="00A355EC">
        <w:rPr>
          <w:rFonts w:ascii="David" w:hAnsi="David" w:cs="David"/>
          <w:sz w:val="22"/>
          <w:szCs w:val="22"/>
          <w:rtl/>
        </w:rPr>
        <w:t xml:space="preserve">שער מג חלק א אות </w:t>
      </w:r>
      <w:proofErr w:type="spellStart"/>
      <w:r w:rsidRPr="00A355EC">
        <w:rPr>
          <w:rFonts w:ascii="David" w:hAnsi="David" w:cs="David"/>
          <w:sz w:val="22"/>
          <w:szCs w:val="22"/>
          <w:rtl/>
        </w:rPr>
        <w:t>יג</w:t>
      </w:r>
      <w:proofErr w:type="spellEnd"/>
      <w:r w:rsidRPr="00A355EC">
        <w:rPr>
          <w:rFonts w:ascii="David" w:hAnsi="David" w:cs="David" w:hint="cs"/>
          <w:sz w:val="22"/>
          <w:szCs w:val="22"/>
          <w:rtl/>
        </w:rPr>
        <w:t>).</w:t>
      </w:r>
    </w:p>
    <w:p w14:paraId="44DFBE6A" w14:textId="77777777" w:rsidR="00A355EC" w:rsidRPr="00A355EC" w:rsidRDefault="00A355EC" w:rsidP="00A355EC">
      <w:pPr>
        <w:ind w:left="142" w:hanging="142"/>
        <w:contextualSpacing/>
        <w:rPr>
          <w:rFonts w:ascii="David" w:hAnsi="David" w:cs="David"/>
          <w:sz w:val="22"/>
          <w:szCs w:val="22"/>
          <w:rtl/>
        </w:rPr>
      </w:pPr>
      <w:r w:rsidRPr="00A355EC">
        <w:rPr>
          <w:rFonts w:ascii="David" w:hAnsi="David" w:cs="David" w:hint="cs"/>
          <w:sz w:val="22"/>
          <w:szCs w:val="22"/>
          <w:vertAlign w:val="superscript"/>
          <w:rtl/>
        </w:rPr>
        <w:t>2</w:t>
      </w:r>
      <w:r w:rsidRPr="00A355EC">
        <w:rPr>
          <w:rFonts w:ascii="David" w:hAnsi="David" w:cs="David"/>
          <w:sz w:val="22"/>
          <w:szCs w:val="22"/>
          <w:rtl/>
        </w:rPr>
        <w:t xml:space="preserve"> </w:t>
      </w:r>
      <w:r w:rsidRPr="00A355EC">
        <w:rPr>
          <w:rFonts w:ascii="David" w:hAnsi="David" w:cs="David" w:hint="cs"/>
          <w:sz w:val="22"/>
          <w:szCs w:val="22"/>
          <w:rtl/>
        </w:rPr>
        <w:t xml:space="preserve"> משמעות סמלית דומה יש לדין המיוחס לתנא זכריה בן הקצב, ולפיו ה'בן' </w:t>
      </w:r>
      <w:proofErr w:type="spellStart"/>
      <w:r w:rsidRPr="00A355EC">
        <w:rPr>
          <w:rFonts w:ascii="David" w:hAnsi="David" w:cs="David" w:hint="cs"/>
          <w:sz w:val="22"/>
          <w:szCs w:val="22"/>
          <w:rtl/>
        </w:rPr>
        <w:t>וה'בת</w:t>
      </w:r>
      <w:proofErr w:type="spellEnd"/>
      <w:r w:rsidRPr="00A355EC">
        <w:rPr>
          <w:rFonts w:ascii="David" w:hAnsi="David" w:cs="David" w:hint="cs"/>
          <w:sz w:val="22"/>
          <w:szCs w:val="22"/>
          <w:rtl/>
        </w:rPr>
        <w:t>' חולקים בשווה ב'ירושת האם'. ובמאמר "</w:t>
      </w:r>
      <w:hyperlink r:id="rId20" w:history="1">
        <w:r w:rsidRPr="00A355EC">
          <w:rPr>
            <w:rFonts w:ascii="David" w:hAnsi="David" w:cs="David" w:hint="cs"/>
            <w:color w:val="0000FF"/>
            <w:sz w:val="22"/>
            <w:szCs w:val="22"/>
            <w:u w:val="single"/>
            <w:rtl/>
          </w:rPr>
          <w:t>זכריה הנביא והתגייסות בני הישיבות</w:t>
        </w:r>
      </w:hyperlink>
      <w:r w:rsidRPr="00A355EC">
        <w:rPr>
          <w:rFonts w:ascii="David" w:hAnsi="David" w:cs="David" w:hint="cs"/>
          <w:sz w:val="22"/>
          <w:szCs w:val="22"/>
          <w:rtl/>
        </w:rPr>
        <w:t xml:space="preserve">", התבאר שזכריה בן הקצב הוא דמות סמלית שבאמצעותו מרמזים חז"ל לפשר נבואת זכריה שלפיה 'תפארת </w:t>
      </w:r>
      <w:proofErr w:type="spellStart"/>
      <w:r w:rsidRPr="00A355EC">
        <w:rPr>
          <w:rFonts w:ascii="David" w:hAnsi="David" w:cs="David" w:hint="cs"/>
          <w:sz w:val="22"/>
          <w:szCs w:val="22"/>
          <w:rtl/>
        </w:rPr>
        <w:t>הנצחון</w:t>
      </w:r>
      <w:proofErr w:type="spellEnd"/>
      <w:r w:rsidRPr="00A355EC">
        <w:rPr>
          <w:rFonts w:ascii="David" w:hAnsi="David" w:cs="David" w:hint="cs"/>
          <w:sz w:val="22"/>
          <w:szCs w:val="22"/>
          <w:rtl/>
        </w:rPr>
        <w:t>' מגיעה גם למי שיצא מבית המדרש לאחוז בחרב גשמית (='בת'), ולא רק ללומדי התורה.</w:t>
      </w:r>
    </w:p>
    <w:p w14:paraId="3B2E5B7B" w14:textId="19B564F3" w:rsidR="00A355EC" w:rsidRDefault="00A355EC" w:rsidP="00A355EC">
      <w:pPr>
        <w:tabs>
          <w:tab w:val="left" w:pos="1466"/>
        </w:tabs>
        <w:spacing w:line="360" w:lineRule="auto"/>
        <w:ind w:left="180" w:hanging="180"/>
        <w:jc w:val="both"/>
        <w:rPr>
          <w:rFonts w:ascii="Arial" w:hAnsi="Arial" w:cs="Arial"/>
          <w:sz w:val="22"/>
          <w:szCs w:val="22"/>
          <w:rtl/>
        </w:rPr>
      </w:pPr>
    </w:p>
    <w:p w14:paraId="5EEE725A" w14:textId="77777777" w:rsidR="000B4C39" w:rsidRPr="00A355EC" w:rsidRDefault="000B4C39" w:rsidP="00A355EC">
      <w:pPr>
        <w:tabs>
          <w:tab w:val="left" w:pos="1466"/>
        </w:tabs>
        <w:spacing w:line="360" w:lineRule="auto"/>
        <w:ind w:left="180" w:hanging="180"/>
        <w:jc w:val="both"/>
        <w:rPr>
          <w:rFonts w:ascii="Arial" w:hAnsi="Arial" w:cs="Arial"/>
          <w:sz w:val="22"/>
          <w:szCs w:val="22"/>
          <w:rtl/>
        </w:rPr>
      </w:pPr>
    </w:p>
    <w:p w14:paraId="7C785D4A" w14:textId="77777777" w:rsidR="00A355EC" w:rsidRPr="00A355EC" w:rsidRDefault="00A355EC" w:rsidP="00A355EC">
      <w:pPr>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rtl/>
        </w:rPr>
      </w:pPr>
      <w:proofErr w:type="spellStart"/>
      <w:r w:rsidRPr="00A355EC">
        <w:rPr>
          <w:rFonts w:cs="David" w:hint="cs"/>
          <w:b/>
          <w:bCs/>
          <w:rtl/>
        </w:rPr>
        <w:t>לע"נ</w:t>
      </w:r>
      <w:proofErr w:type="spellEnd"/>
      <w:r w:rsidRPr="00A355EC">
        <w:rPr>
          <w:rFonts w:cs="David" w:hint="cs"/>
          <w:b/>
          <w:bCs/>
          <w:rtl/>
        </w:rPr>
        <w:t xml:space="preserve"> </w:t>
      </w:r>
      <w:proofErr w:type="spellStart"/>
      <w:r w:rsidRPr="00A355EC">
        <w:rPr>
          <w:rFonts w:cs="David" w:hint="cs"/>
          <w:b/>
          <w:bCs/>
          <w:rtl/>
        </w:rPr>
        <w:t>אמו"ר</w:t>
      </w:r>
      <w:proofErr w:type="spellEnd"/>
      <w:r w:rsidRPr="00A355EC">
        <w:rPr>
          <w:rFonts w:cs="David" w:hint="cs"/>
          <w:b/>
          <w:bCs/>
          <w:rtl/>
        </w:rPr>
        <w:t xml:space="preserve"> רחל בת ר' בנימין בונים ע"ה</w:t>
      </w:r>
    </w:p>
    <w:p w14:paraId="309FD765" w14:textId="77777777" w:rsidR="00A355EC" w:rsidRPr="00A355EC" w:rsidRDefault="00A355EC" w:rsidP="00A355EC">
      <w:pPr>
        <w:rPr>
          <w:rFonts w:cs="David"/>
          <w:sz w:val="28"/>
          <w:szCs w:val="28"/>
          <w:rtl/>
        </w:rPr>
      </w:pPr>
    </w:p>
    <w:bookmarkEnd w:id="5"/>
    <w:bookmarkEnd w:id="6"/>
    <w:bookmarkEnd w:id="7"/>
    <w:bookmarkEnd w:id="8"/>
    <w:bookmarkEnd w:id="9"/>
    <w:p w14:paraId="7F170CBD" w14:textId="2F7F3C7B" w:rsidR="00A355EC" w:rsidRDefault="00A355EC" w:rsidP="00A355EC">
      <w:pPr>
        <w:jc w:val="center"/>
        <w:rPr>
          <w:rFonts w:cs="David"/>
          <w:b/>
          <w:bCs/>
          <w:color w:val="0070C0"/>
          <w:u w:val="single"/>
          <w:rtl/>
          <w:lang w:eastAsia="he-IL"/>
        </w:rPr>
      </w:pPr>
      <w:r w:rsidRPr="00A355EC">
        <w:rPr>
          <w:rFonts w:cs="David" w:hint="cs"/>
          <w:b/>
          <w:bCs/>
          <w:color w:val="0070C0"/>
          <w:rtl/>
          <w:lang w:eastAsia="he-IL"/>
        </w:rPr>
        <w:t xml:space="preserve">ניתן ליצור קשר עם הכותבים דרך:  </w:t>
      </w:r>
      <w:hyperlink r:id="rId21" w:history="1">
        <w:r w:rsidRPr="00A355EC">
          <w:rPr>
            <w:rFonts w:cs="David"/>
            <w:b/>
            <w:bCs/>
            <w:color w:val="0070C0"/>
            <w:u w:val="single"/>
            <w:lang w:eastAsia="he-IL"/>
          </w:rPr>
          <w:t>info@eretzhemdah.org</w:t>
        </w:r>
      </w:hyperlink>
    </w:p>
    <w:p w14:paraId="3F3FF8B0" w14:textId="77777777" w:rsidR="0018470F" w:rsidRPr="00A355EC" w:rsidRDefault="0018470F" w:rsidP="00A355EC">
      <w:pPr>
        <w:jc w:val="center"/>
        <w:rPr>
          <w:rFonts w:cs="David"/>
          <w:b/>
          <w:bCs/>
          <w:color w:val="0070C0"/>
          <w:u w:val="single"/>
          <w:lang w:eastAsia="he-IL"/>
        </w:rPr>
      </w:pPr>
    </w:p>
    <w:p w14:paraId="3250A0B4" w14:textId="31415A0E" w:rsidR="00A355EC" w:rsidRPr="00A355EC" w:rsidRDefault="0018470F" w:rsidP="00A355EC">
      <w:r w:rsidRPr="00876564">
        <w:rPr>
          <w:noProof/>
          <w:sz w:val="20"/>
          <w:szCs w:val="20"/>
          <w:rtl/>
        </w:rPr>
        <w:drawing>
          <wp:anchor distT="0" distB="0" distL="114300" distR="114300" simplePos="0" relativeHeight="252048384" behindDoc="0" locked="0" layoutInCell="1" allowOverlap="1" wp14:anchorId="0B7F1EBC" wp14:editId="1088D1BE">
            <wp:simplePos x="0" y="0"/>
            <wp:positionH relativeFrom="margin">
              <wp:posOffset>1090930</wp:posOffset>
            </wp:positionH>
            <wp:positionV relativeFrom="paragraph">
              <wp:posOffset>121285</wp:posOffset>
            </wp:positionV>
            <wp:extent cx="4838065" cy="1097280"/>
            <wp:effectExtent l="0" t="0" r="635" b="762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38065" cy="1097280"/>
                    </a:xfrm>
                    <a:prstGeom prst="rect">
                      <a:avLst/>
                    </a:prstGeom>
                    <a:noFill/>
                  </pic:spPr>
                </pic:pic>
              </a:graphicData>
            </a:graphic>
            <wp14:sizeRelH relativeFrom="page">
              <wp14:pctWidth>0</wp14:pctWidth>
            </wp14:sizeRelH>
            <wp14:sizeRelV relativeFrom="page">
              <wp14:pctHeight>0</wp14:pctHeight>
            </wp14:sizeRelV>
          </wp:anchor>
        </w:drawing>
      </w:r>
    </w:p>
    <w:p w14:paraId="5A31DE8C" w14:textId="23633DAA" w:rsidR="00A355EC" w:rsidRPr="00A355EC" w:rsidRDefault="00A355EC" w:rsidP="00A355EC">
      <w:pPr>
        <w:tabs>
          <w:tab w:val="left" w:pos="1466"/>
        </w:tabs>
        <w:contextualSpacing/>
        <w:rPr>
          <w:rFonts w:ascii="Arial" w:hAnsi="Arial" w:cs="Arial"/>
          <w:sz w:val="22"/>
          <w:szCs w:val="22"/>
          <w:rtl/>
        </w:rPr>
      </w:pPr>
    </w:p>
    <w:p w14:paraId="6103C223" w14:textId="5AF8194B" w:rsidR="00A355EC" w:rsidRDefault="00A355EC" w:rsidP="00601083">
      <w:pPr>
        <w:contextualSpacing/>
        <w:rPr>
          <w:rFonts w:cs="David"/>
          <w:rtl/>
        </w:rPr>
      </w:pPr>
    </w:p>
    <w:p w14:paraId="250F27A4" w14:textId="323C681D" w:rsidR="000801C9" w:rsidRDefault="000801C9" w:rsidP="00601083">
      <w:pPr>
        <w:contextualSpacing/>
        <w:rPr>
          <w:rFonts w:cs="David"/>
          <w:rtl/>
        </w:rPr>
      </w:pPr>
    </w:p>
    <w:p w14:paraId="2512303E" w14:textId="77777777" w:rsidR="0018470F" w:rsidRDefault="0018470F" w:rsidP="00601083">
      <w:pPr>
        <w:contextualSpacing/>
        <w:rPr>
          <w:rFonts w:cs="David"/>
          <w:rtl/>
        </w:rPr>
      </w:pPr>
    </w:p>
    <w:p w14:paraId="13D0E9FD" w14:textId="77777777" w:rsidR="0018470F" w:rsidRDefault="0018470F" w:rsidP="00601083">
      <w:pPr>
        <w:contextualSpacing/>
        <w:rPr>
          <w:rFonts w:cs="David"/>
          <w:rtl/>
        </w:rPr>
      </w:pPr>
    </w:p>
    <w:p w14:paraId="2065D252" w14:textId="77777777" w:rsidR="0018470F" w:rsidRDefault="0018470F" w:rsidP="00601083">
      <w:pPr>
        <w:contextualSpacing/>
        <w:rPr>
          <w:rFonts w:cs="David"/>
          <w:rtl/>
        </w:rPr>
      </w:pPr>
    </w:p>
    <w:p w14:paraId="77917560" w14:textId="77777777" w:rsidR="0018470F" w:rsidRDefault="0018470F" w:rsidP="00601083">
      <w:pPr>
        <w:contextualSpacing/>
        <w:rPr>
          <w:rFonts w:cs="David"/>
          <w:rtl/>
        </w:rPr>
      </w:pPr>
    </w:p>
    <w:p w14:paraId="114847AD" w14:textId="71DD195B" w:rsidR="0018470F" w:rsidRDefault="0018470F" w:rsidP="00601083">
      <w:pPr>
        <w:contextualSpacing/>
        <w:rPr>
          <w:rFonts w:cs="David"/>
          <w:rtl/>
        </w:rPr>
      </w:pPr>
    </w:p>
    <w:p w14:paraId="4A22A1A2" w14:textId="423DF12A" w:rsidR="000B4C39" w:rsidRDefault="000B4C39" w:rsidP="00601083">
      <w:pPr>
        <w:contextualSpacing/>
        <w:rPr>
          <w:rFonts w:cs="David"/>
          <w:rtl/>
        </w:rPr>
      </w:pPr>
    </w:p>
    <w:p w14:paraId="5D59A8CE" w14:textId="53ADCACA" w:rsidR="000B4C39" w:rsidRDefault="000B4C39" w:rsidP="00601083">
      <w:pPr>
        <w:contextualSpacing/>
        <w:rPr>
          <w:rFonts w:cs="David"/>
          <w:rtl/>
        </w:rPr>
      </w:pPr>
    </w:p>
    <w:p w14:paraId="4D498D0F" w14:textId="77777777" w:rsidR="000B4C39" w:rsidRDefault="000B4C39" w:rsidP="00601083">
      <w:pPr>
        <w:contextualSpacing/>
        <w:rPr>
          <w:rFonts w:cs="David"/>
          <w:rtl/>
        </w:rPr>
      </w:pPr>
    </w:p>
    <w:p w14:paraId="552868D4" w14:textId="77777777" w:rsidR="0018470F" w:rsidRDefault="0018470F" w:rsidP="00601083">
      <w:pPr>
        <w:contextualSpacing/>
        <w:rPr>
          <w:rFonts w:cs="David"/>
          <w:rtl/>
        </w:rPr>
      </w:pPr>
    </w:p>
    <w:p w14:paraId="7748D72C" w14:textId="441E301C" w:rsidR="00252659" w:rsidRDefault="000801C9" w:rsidP="00601083">
      <w:pPr>
        <w:contextualSpacing/>
        <w:rPr>
          <w:rFonts w:cs="David"/>
          <w:rtl/>
        </w:rPr>
      </w:pPr>
      <w:r w:rsidRPr="003E3AE1">
        <w:rPr>
          <w:rFonts w:cs="David"/>
          <w:noProof/>
          <w:sz w:val="12"/>
          <w:szCs w:val="12"/>
        </w:rPr>
        <w:drawing>
          <wp:anchor distT="0" distB="0" distL="114300" distR="114300" simplePos="0" relativeHeight="251661312" behindDoc="1" locked="0" layoutInCell="1" allowOverlap="1" wp14:anchorId="3DC5E2B4" wp14:editId="15540356">
            <wp:simplePos x="0" y="0"/>
            <wp:positionH relativeFrom="margin">
              <wp:posOffset>3522097</wp:posOffset>
            </wp:positionH>
            <wp:positionV relativeFrom="paragraph">
              <wp:posOffset>-198507</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7EAD60" w14:textId="6C94ADA2" w:rsidR="00E72230" w:rsidRDefault="00E72230" w:rsidP="00601083">
      <w:pPr>
        <w:contextualSpacing/>
        <w:rPr>
          <w:rFonts w:cs="David"/>
          <w:rtl/>
        </w:rPr>
      </w:pPr>
    </w:p>
    <w:p w14:paraId="4084B494" w14:textId="77777777" w:rsidR="00CD0886" w:rsidRPr="00CD0886" w:rsidRDefault="00CD0886" w:rsidP="00CD0886">
      <w:pPr>
        <w:widowControl w:val="0"/>
        <w:autoSpaceDE w:val="0"/>
        <w:autoSpaceDN w:val="0"/>
        <w:adjustRightInd w:val="0"/>
        <w:contextualSpacing/>
        <w:rPr>
          <w:rFonts w:cs="David"/>
          <w:rtl/>
        </w:rPr>
      </w:pPr>
      <w:r w:rsidRPr="00CD0886">
        <w:rPr>
          <w:rFonts w:cs="David" w:hint="cs"/>
          <w:rtl/>
        </w:rPr>
        <w:t xml:space="preserve">(מתוך ח"ד) </w:t>
      </w:r>
    </w:p>
    <w:p w14:paraId="3E10714D" w14:textId="77777777" w:rsidR="00CD0886" w:rsidRPr="00CD0886" w:rsidRDefault="00CD0886" w:rsidP="00CD0886">
      <w:pPr>
        <w:widowControl w:val="0"/>
        <w:autoSpaceDE w:val="0"/>
        <w:autoSpaceDN w:val="0"/>
        <w:adjustRightInd w:val="0"/>
        <w:contextualSpacing/>
        <w:rPr>
          <w:rFonts w:cs="David"/>
          <w:rtl/>
        </w:rPr>
      </w:pPr>
    </w:p>
    <w:p w14:paraId="17D76128" w14:textId="6367EDD8" w:rsidR="00CD0886" w:rsidRPr="00CD0886" w:rsidRDefault="00CD0886" w:rsidP="00CD0886">
      <w:pPr>
        <w:widowControl w:val="0"/>
        <w:autoSpaceDE w:val="0"/>
        <w:autoSpaceDN w:val="0"/>
        <w:adjustRightInd w:val="0"/>
        <w:contextualSpacing/>
        <w:rPr>
          <w:rFonts w:cs="David"/>
          <w:b/>
          <w:bCs/>
          <w:sz w:val="32"/>
          <w:szCs w:val="32"/>
          <w:rtl/>
        </w:rPr>
      </w:pPr>
      <w:r w:rsidRPr="00CD0886">
        <w:rPr>
          <w:rFonts w:cs="David"/>
          <w:b/>
          <w:bCs/>
          <w:sz w:val="32"/>
          <w:szCs w:val="32"/>
          <w:rtl/>
        </w:rPr>
        <w:t>מ</w:t>
      </w:r>
      <w:r w:rsidRPr="00CD0886">
        <w:rPr>
          <w:rFonts w:cs="David" w:hint="cs"/>
          <w:b/>
          <w:bCs/>
          <w:sz w:val="32"/>
          <w:szCs w:val="32"/>
          <w:rtl/>
        </w:rPr>
        <w:t>אלמו, שבדיה</w:t>
      </w:r>
      <w:r w:rsidRPr="00CD0886">
        <w:rPr>
          <w:rFonts w:cs="David"/>
          <w:b/>
          <w:bCs/>
          <w:sz w:val="32"/>
          <w:szCs w:val="32"/>
          <w:rtl/>
        </w:rPr>
        <w:t xml:space="preserve">                                         </w:t>
      </w:r>
      <w:r w:rsidRPr="00CD0886">
        <w:rPr>
          <w:rFonts w:cs="David"/>
          <w:b/>
          <w:bCs/>
          <w:sz w:val="32"/>
          <w:szCs w:val="32"/>
          <w:rtl/>
        </w:rPr>
        <w:tab/>
      </w:r>
      <w:r w:rsidRPr="00CD0886">
        <w:rPr>
          <w:rFonts w:cs="David"/>
          <w:b/>
          <w:bCs/>
          <w:sz w:val="32"/>
          <w:szCs w:val="32"/>
          <w:rtl/>
        </w:rPr>
        <w:tab/>
      </w:r>
      <w:r w:rsidRPr="00CD0886">
        <w:rPr>
          <w:rFonts w:cs="David"/>
          <w:b/>
          <w:bCs/>
          <w:sz w:val="32"/>
          <w:szCs w:val="32"/>
          <w:rtl/>
        </w:rPr>
        <w:tab/>
      </w:r>
      <w:r w:rsidRPr="00CD0886">
        <w:rPr>
          <w:rFonts w:cs="David" w:hint="cs"/>
          <w:b/>
          <w:bCs/>
          <w:sz w:val="32"/>
          <w:szCs w:val="32"/>
          <w:rtl/>
        </w:rPr>
        <w:t xml:space="preserve">       </w:t>
      </w:r>
      <w:r w:rsidRPr="00CD0886">
        <w:rPr>
          <w:rFonts w:cs="David"/>
          <w:b/>
          <w:bCs/>
          <w:sz w:val="32"/>
          <w:szCs w:val="32"/>
          <w:rtl/>
        </w:rPr>
        <w:t xml:space="preserve">                   </w:t>
      </w:r>
      <w:r>
        <w:rPr>
          <w:rFonts w:cs="David" w:hint="cs"/>
          <w:b/>
          <w:bCs/>
          <w:sz w:val="32"/>
          <w:szCs w:val="32"/>
          <w:rtl/>
        </w:rPr>
        <w:t xml:space="preserve">      </w:t>
      </w:r>
      <w:r w:rsidRPr="00CD0886">
        <w:rPr>
          <w:rFonts w:cs="David"/>
          <w:b/>
          <w:bCs/>
          <w:sz w:val="32"/>
          <w:szCs w:val="32"/>
          <w:rtl/>
        </w:rPr>
        <w:t xml:space="preserve"> </w:t>
      </w:r>
      <w:r w:rsidRPr="00CD0886">
        <w:rPr>
          <w:rFonts w:cs="David"/>
          <w:b/>
          <w:bCs/>
          <w:sz w:val="32"/>
          <w:szCs w:val="32"/>
        </w:rPr>
        <w:t>Malmo, Sweden</w:t>
      </w:r>
    </w:p>
    <w:p w14:paraId="4FF93D09" w14:textId="77777777" w:rsidR="00CD0886" w:rsidRPr="00CD0886" w:rsidRDefault="00CD0886" w:rsidP="00CD0886">
      <w:pPr>
        <w:widowControl w:val="0"/>
        <w:autoSpaceDE w:val="0"/>
        <w:autoSpaceDN w:val="0"/>
        <w:adjustRightInd w:val="0"/>
        <w:contextualSpacing/>
        <w:rPr>
          <w:rFonts w:cs="David"/>
          <w:rtl/>
        </w:rPr>
      </w:pPr>
      <w:r w:rsidRPr="00CD0886">
        <w:rPr>
          <w:rFonts w:cs="David"/>
          <w:rtl/>
        </w:rPr>
        <w:t>מ</w:t>
      </w:r>
      <w:r w:rsidRPr="00CD0886">
        <w:rPr>
          <w:rFonts w:cs="David" w:hint="cs"/>
          <w:rtl/>
        </w:rPr>
        <w:t>נחם אב, ה'תשנ"ז</w:t>
      </w:r>
    </w:p>
    <w:p w14:paraId="27A77549" w14:textId="77777777" w:rsidR="00CD0886" w:rsidRPr="00CD0886" w:rsidRDefault="00CD0886" w:rsidP="00CD0886">
      <w:pPr>
        <w:widowControl w:val="0"/>
        <w:autoSpaceDE w:val="0"/>
        <w:autoSpaceDN w:val="0"/>
        <w:adjustRightInd w:val="0"/>
        <w:contextualSpacing/>
        <w:rPr>
          <w:rFonts w:cs="David"/>
          <w:b/>
          <w:bCs/>
          <w:rtl/>
        </w:rPr>
      </w:pPr>
    </w:p>
    <w:p w14:paraId="5E4B4464" w14:textId="77777777" w:rsidR="00CD0886" w:rsidRPr="00CD0886" w:rsidRDefault="00CD0886" w:rsidP="00CD0886">
      <w:pPr>
        <w:widowControl w:val="0"/>
        <w:autoSpaceDE w:val="0"/>
        <w:autoSpaceDN w:val="0"/>
        <w:adjustRightInd w:val="0"/>
        <w:contextualSpacing/>
        <w:rPr>
          <w:rFonts w:ascii="David" w:hAnsi="David" w:cs="David"/>
          <w:b/>
          <w:bCs/>
          <w:color w:val="0070C0"/>
          <w:kern w:val="2"/>
          <w:sz w:val="30"/>
          <w:szCs w:val="30"/>
          <w:rtl/>
          <w14:ligatures w14:val="standardContextual"/>
        </w:rPr>
      </w:pPr>
      <w:r w:rsidRPr="00CD0886">
        <w:rPr>
          <w:rFonts w:ascii="David" w:hAnsi="David" w:cs="David" w:hint="cs"/>
          <w:b/>
          <w:bCs/>
          <w:color w:val="0070C0"/>
          <w:kern w:val="2"/>
          <w:sz w:val="30"/>
          <w:szCs w:val="30"/>
          <w:rtl/>
          <w14:ligatures w14:val="standardContextual"/>
        </w:rPr>
        <w:t xml:space="preserve">הוצאת הציבור ידי חובת </w:t>
      </w:r>
      <w:proofErr w:type="spellStart"/>
      <w:r w:rsidRPr="00CD0886">
        <w:rPr>
          <w:rFonts w:ascii="David" w:hAnsi="David" w:cs="David" w:hint="cs"/>
          <w:b/>
          <w:bCs/>
          <w:color w:val="0070C0"/>
          <w:kern w:val="2"/>
          <w:sz w:val="30"/>
          <w:szCs w:val="30"/>
          <w:rtl/>
          <w14:ligatures w14:val="standardContextual"/>
        </w:rPr>
        <w:t>קידושא</w:t>
      </w:r>
      <w:proofErr w:type="spellEnd"/>
      <w:r w:rsidRPr="00CD0886">
        <w:rPr>
          <w:rFonts w:ascii="David" w:hAnsi="David" w:cs="David" w:hint="cs"/>
          <w:b/>
          <w:bCs/>
          <w:color w:val="0070C0"/>
          <w:kern w:val="2"/>
          <w:sz w:val="30"/>
          <w:szCs w:val="30"/>
          <w:rtl/>
          <w14:ligatures w14:val="standardContextual"/>
        </w:rPr>
        <w:t xml:space="preserve"> רבה </w:t>
      </w:r>
      <w:proofErr w:type="spellStart"/>
      <w:r w:rsidRPr="00CD0886">
        <w:rPr>
          <w:rFonts w:ascii="David" w:hAnsi="David" w:cs="David" w:hint="cs"/>
          <w:b/>
          <w:bCs/>
          <w:color w:val="0070C0"/>
          <w:kern w:val="2"/>
          <w:sz w:val="30"/>
          <w:szCs w:val="30"/>
          <w:rtl/>
          <w14:ligatures w14:val="standardContextual"/>
        </w:rPr>
        <w:t>על־ידי</w:t>
      </w:r>
      <w:proofErr w:type="spellEnd"/>
      <w:r w:rsidRPr="00CD0886">
        <w:rPr>
          <w:rFonts w:ascii="David" w:hAnsi="David" w:cs="David" w:hint="cs"/>
          <w:b/>
          <w:bCs/>
          <w:color w:val="0070C0"/>
          <w:kern w:val="2"/>
          <w:sz w:val="30"/>
          <w:szCs w:val="30"/>
          <w:rtl/>
          <w14:ligatures w14:val="standardContextual"/>
        </w:rPr>
        <w:t xml:space="preserve"> </w:t>
      </w:r>
      <w:proofErr w:type="spellStart"/>
      <w:r w:rsidRPr="00CD0886">
        <w:rPr>
          <w:rFonts w:ascii="David" w:hAnsi="David" w:cs="David" w:hint="cs"/>
          <w:b/>
          <w:bCs/>
          <w:color w:val="0070C0"/>
          <w:kern w:val="2"/>
          <w:sz w:val="30"/>
          <w:szCs w:val="30"/>
          <w:rtl/>
          <w14:ligatures w14:val="standardContextual"/>
        </w:rPr>
        <w:t>בת־מצוה</w:t>
      </w:r>
      <w:proofErr w:type="spellEnd"/>
      <w:r w:rsidRPr="00CD0886">
        <w:rPr>
          <w:rFonts w:ascii="David" w:hAnsi="David" w:cs="David" w:hint="cs"/>
          <w:b/>
          <w:bCs/>
          <w:color w:val="0070C0"/>
          <w:kern w:val="2"/>
          <w:sz w:val="30"/>
          <w:szCs w:val="30"/>
          <w:rtl/>
          <w14:ligatures w14:val="standardContextual"/>
        </w:rPr>
        <w:t xml:space="preserve"> כחלק ממסיבתה</w:t>
      </w:r>
    </w:p>
    <w:p w14:paraId="088B8620" w14:textId="77777777" w:rsidR="00CD0886" w:rsidRPr="00CD0886" w:rsidRDefault="00CD0886" w:rsidP="00CD0886">
      <w:pPr>
        <w:widowControl w:val="0"/>
        <w:autoSpaceDE w:val="0"/>
        <w:autoSpaceDN w:val="0"/>
        <w:adjustRightInd w:val="0"/>
        <w:contextualSpacing/>
        <w:rPr>
          <w:rFonts w:cs="David"/>
          <w:rtl/>
        </w:rPr>
      </w:pPr>
    </w:p>
    <w:p w14:paraId="6BA52C46" w14:textId="77777777" w:rsidR="00CD0886" w:rsidRPr="00CD0886" w:rsidRDefault="00CD0886" w:rsidP="00CD0886">
      <w:pPr>
        <w:widowControl w:val="0"/>
        <w:autoSpaceDE w:val="0"/>
        <w:autoSpaceDN w:val="0"/>
        <w:adjustRightInd w:val="0"/>
        <w:contextualSpacing/>
        <w:rPr>
          <w:rFonts w:cs="David"/>
          <w:b/>
          <w:bCs/>
          <w:sz w:val="26"/>
          <w:szCs w:val="26"/>
          <w:rtl/>
        </w:rPr>
      </w:pPr>
      <w:r w:rsidRPr="00CD0886">
        <w:rPr>
          <w:rFonts w:cs="David"/>
          <w:b/>
          <w:bCs/>
          <w:sz w:val="26"/>
          <w:szCs w:val="26"/>
          <w:rtl/>
        </w:rPr>
        <w:t>ש</w:t>
      </w:r>
      <w:r w:rsidRPr="00CD0886">
        <w:rPr>
          <w:rFonts w:cs="David" w:hint="cs"/>
          <w:b/>
          <w:bCs/>
          <w:sz w:val="26"/>
          <w:szCs w:val="26"/>
          <w:rtl/>
        </w:rPr>
        <w:t>אלה</w:t>
      </w:r>
    </w:p>
    <w:p w14:paraId="3AA0718A" w14:textId="77777777" w:rsidR="00CD0886" w:rsidRPr="00CD0886" w:rsidRDefault="00CD0886" w:rsidP="00CD0886">
      <w:pPr>
        <w:widowControl w:val="0"/>
        <w:autoSpaceDE w:val="0"/>
        <w:autoSpaceDN w:val="0"/>
        <w:adjustRightInd w:val="0"/>
        <w:contextualSpacing/>
        <w:rPr>
          <w:rFonts w:cs="David"/>
          <w:rtl/>
        </w:rPr>
      </w:pPr>
      <w:r w:rsidRPr="00CD0886">
        <w:rPr>
          <w:rFonts w:cs="David"/>
          <w:rtl/>
        </w:rPr>
        <w:t>מ</w:t>
      </w:r>
      <w:r w:rsidRPr="00CD0886">
        <w:rPr>
          <w:rFonts w:cs="David" w:hint="cs"/>
          <w:rtl/>
        </w:rPr>
        <w:t xml:space="preserve">שפחה בקהילתי הזמינה את הציבור </w:t>
      </w:r>
      <w:proofErr w:type="spellStart"/>
      <w:r w:rsidRPr="00CD0886">
        <w:rPr>
          <w:rFonts w:cs="David" w:hint="cs"/>
          <w:rtl/>
        </w:rPr>
        <w:t>ל"קידושא</w:t>
      </w:r>
      <w:proofErr w:type="spellEnd"/>
      <w:r w:rsidRPr="00CD0886">
        <w:rPr>
          <w:rFonts w:cs="David" w:hint="cs"/>
          <w:rtl/>
        </w:rPr>
        <w:t xml:space="preserve"> רבה" לאחר התפילה בשבת בבוקר כחלק מחגיגת בת </w:t>
      </w:r>
      <w:proofErr w:type="spellStart"/>
      <w:r w:rsidRPr="00CD0886">
        <w:rPr>
          <w:rFonts w:cs="David" w:hint="cs"/>
          <w:rtl/>
        </w:rPr>
        <w:t>המצוה</w:t>
      </w:r>
      <w:proofErr w:type="spellEnd"/>
      <w:r w:rsidRPr="00CD0886">
        <w:rPr>
          <w:rFonts w:cs="David" w:hint="cs"/>
          <w:rtl/>
        </w:rPr>
        <w:t xml:space="preserve"> של בתם. הם מבקשים לציין את כניסת הנערה לעול מצוות בכך שיכבדו אותה לומר את הקי</w:t>
      </w:r>
      <w:r w:rsidRPr="00CD0886">
        <w:rPr>
          <w:rFonts w:cs="David"/>
          <w:rtl/>
        </w:rPr>
        <w:t>ד</w:t>
      </w:r>
      <w:r w:rsidRPr="00CD0886">
        <w:rPr>
          <w:rFonts w:cs="David" w:hint="cs"/>
          <w:rtl/>
        </w:rPr>
        <w:t>וש ולהוציא את הציבור ידי חובת קידוש היום. לטענתם כיון שהחיוב בשבת בבוקר לכולי עלמא הינו מדרבנן ואשה חייבת כמו איש, אין בעיה בבקשתם.</w:t>
      </w:r>
    </w:p>
    <w:p w14:paraId="38309B91" w14:textId="77777777" w:rsidR="00CD0886" w:rsidRPr="00CD0886" w:rsidRDefault="00CD0886" w:rsidP="00CD0886">
      <w:pPr>
        <w:widowControl w:val="0"/>
        <w:autoSpaceDE w:val="0"/>
        <w:autoSpaceDN w:val="0"/>
        <w:adjustRightInd w:val="0"/>
        <w:contextualSpacing/>
        <w:rPr>
          <w:rFonts w:cs="David"/>
          <w:rtl/>
        </w:rPr>
      </w:pPr>
    </w:p>
    <w:p w14:paraId="3BCCDAC0" w14:textId="77777777" w:rsidR="00CD0886" w:rsidRPr="00CD0886" w:rsidRDefault="00CD0886" w:rsidP="00CD0886">
      <w:pPr>
        <w:widowControl w:val="0"/>
        <w:autoSpaceDE w:val="0"/>
        <w:autoSpaceDN w:val="0"/>
        <w:adjustRightInd w:val="0"/>
        <w:contextualSpacing/>
        <w:rPr>
          <w:rFonts w:cs="David"/>
          <w:b/>
          <w:bCs/>
          <w:sz w:val="26"/>
          <w:szCs w:val="26"/>
          <w:rtl/>
        </w:rPr>
      </w:pPr>
      <w:r w:rsidRPr="00CD0886">
        <w:rPr>
          <w:rFonts w:cs="David"/>
          <w:b/>
          <w:bCs/>
          <w:sz w:val="26"/>
          <w:szCs w:val="26"/>
          <w:rtl/>
        </w:rPr>
        <w:t>ת</w:t>
      </w:r>
      <w:r w:rsidRPr="00CD0886">
        <w:rPr>
          <w:rFonts w:cs="David" w:hint="cs"/>
          <w:b/>
          <w:bCs/>
          <w:sz w:val="26"/>
          <w:szCs w:val="26"/>
          <w:rtl/>
        </w:rPr>
        <w:t>שובה</w:t>
      </w:r>
    </w:p>
    <w:p w14:paraId="3CF0BFC2" w14:textId="77777777" w:rsidR="00CD0886" w:rsidRPr="00CD0886" w:rsidRDefault="00CD0886" w:rsidP="00CD0886">
      <w:pPr>
        <w:widowControl w:val="0"/>
        <w:autoSpaceDE w:val="0"/>
        <w:autoSpaceDN w:val="0"/>
        <w:adjustRightInd w:val="0"/>
        <w:contextualSpacing/>
        <w:rPr>
          <w:rFonts w:cs="David"/>
          <w:rtl/>
        </w:rPr>
      </w:pPr>
      <w:r w:rsidRPr="00CD0886">
        <w:rPr>
          <w:rFonts w:cs="David"/>
          <w:rtl/>
        </w:rPr>
        <w:t>כ</w:t>
      </w:r>
      <w:r w:rsidRPr="00CD0886">
        <w:rPr>
          <w:rFonts w:cs="David" w:hint="cs"/>
          <w:rtl/>
        </w:rPr>
        <w:t xml:space="preserve">ניסה תחת נועם עול המצוות פירושה לא רק התחלה של קיום מצוות כמי שמצווה ועושה אלא גם המשך חינוך להנהגות טובות, מידות, </w:t>
      </w:r>
      <w:r w:rsidRPr="00CD0886">
        <w:rPr>
          <w:rFonts w:cs="David"/>
          <w:rtl/>
        </w:rPr>
        <w:t>ד</w:t>
      </w:r>
      <w:r w:rsidRPr="00CD0886">
        <w:rPr>
          <w:rFonts w:cs="David" w:hint="cs"/>
          <w:rtl/>
        </w:rPr>
        <w:t>רך</w:t>
      </w:r>
      <w:r w:rsidRPr="00CD0886">
        <w:rPr>
          <w:rFonts w:cs="David"/>
          <w:rtl/>
        </w:rPr>
        <w:t>-</w:t>
      </w:r>
      <w:r w:rsidRPr="00CD0886">
        <w:rPr>
          <w:rFonts w:cs="David" w:hint="cs"/>
          <w:rtl/>
        </w:rPr>
        <w:t>ארץ וצניעות.</w:t>
      </w:r>
    </w:p>
    <w:p w14:paraId="7AF93E4E" w14:textId="77777777" w:rsidR="00CD0886" w:rsidRPr="00CD0886" w:rsidRDefault="00CD0886" w:rsidP="00CD0886">
      <w:pPr>
        <w:widowControl w:val="0"/>
        <w:autoSpaceDE w:val="0"/>
        <w:autoSpaceDN w:val="0"/>
        <w:adjustRightInd w:val="0"/>
        <w:contextualSpacing/>
        <w:rPr>
          <w:rFonts w:cs="David"/>
          <w:rtl/>
        </w:rPr>
      </w:pPr>
    </w:p>
    <w:p w14:paraId="46D82574" w14:textId="77777777" w:rsidR="00CD0886" w:rsidRPr="00CD0886" w:rsidRDefault="00CD0886" w:rsidP="00CD0886">
      <w:pPr>
        <w:widowControl w:val="0"/>
        <w:autoSpaceDE w:val="0"/>
        <w:autoSpaceDN w:val="0"/>
        <w:adjustRightInd w:val="0"/>
        <w:contextualSpacing/>
        <w:rPr>
          <w:rFonts w:cs="David"/>
          <w:rtl/>
        </w:rPr>
      </w:pPr>
      <w:r w:rsidRPr="00CD0886">
        <w:rPr>
          <w:rFonts w:cs="David"/>
          <w:rtl/>
        </w:rPr>
        <w:t>מ</w:t>
      </w:r>
      <w:r w:rsidRPr="00CD0886">
        <w:rPr>
          <w:rFonts w:cs="David" w:hint="cs"/>
          <w:rtl/>
        </w:rPr>
        <w:t>כיוון שמצאנו הלכות רבות האוסרות השתתפות פעילה של נשים בהוצאת הרבים ידי חובתם, כגון עלייה לתורה, מטעמי צניעות, נכון לכתחילה שלא לחדש מנהגים שיסתרו כללים אלה1. עם זאת יש מקום ליישום רעיון זה כאשר ב</w:t>
      </w:r>
      <w:r w:rsidRPr="00CD0886">
        <w:rPr>
          <w:rFonts w:cs="David"/>
          <w:rtl/>
        </w:rPr>
        <w:t>ת-</w:t>
      </w:r>
      <w:proofErr w:type="spellStart"/>
      <w:r w:rsidRPr="00CD0886">
        <w:rPr>
          <w:rFonts w:cs="David" w:hint="cs"/>
          <w:rtl/>
        </w:rPr>
        <w:t>המצוה</w:t>
      </w:r>
      <w:proofErr w:type="spellEnd"/>
      <w:r w:rsidRPr="00CD0886">
        <w:rPr>
          <w:rFonts w:cs="David" w:hint="cs"/>
          <w:rtl/>
        </w:rPr>
        <w:t xml:space="preserve"> תכובד באותה השבת להוציא את בני משפח</w:t>
      </w:r>
      <w:r w:rsidRPr="00CD0886">
        <w:rPr>
          <w:rFonts w:cs="David"/>
          <w:rtl/>
        </w:rPr>
        <w:t>ת</w:t>
      </w:r>
      <w:r w:rsidRPr="00CD0886">
        <w:rPr>
          <w:rFonts w:cs="David" w:hint="cs"/>
          <w:rtl/>
        </w:rPr>
        <w:t>ה בקידוש היום לפני הסעודה שנערכת בביתה הפרטי, בחוג משפחתה2.</w:t>
      </w:r>
    </w:p>
    <w:p w14:paraId="6D21BB5D" w14:textId="77777777" w:rsidR="00CD0886" w:rsidRPr="00CD0886" w:rsidRDefault="00CD0886" w:rsidP="00CD0886">
      <w:pPr>
        <w:widowControl w:val="0"/>
        <w:autoSpaceDE w:val="0"/>
        <w:autoSpaceDN w:val="0"/>
        <w:adjustRightInd w:val="0"/>
        <w:contextualSpacing/>
        <w:rPr>
          <w:rFonts w:cs="David"/>
          <w:rtl/>
        </w:rPr>
      </w:pPr>
    </w:p>
    <w:p w14:paraId="421DD206" w14:textId="77777777" w:rsidR="00CD0886" w:rsidRPr="00CD0886" w:rsidRDefault="00CD0886" w:rsidP="00CD0886">
      <w:pPr>
        <w:widowControl w:val="0"/>
        <w:autoSpaceDE w:val="0"/>
        <w:autoSpaceDN w:val="0"/>
        <w:adjustRightInd w:val="0"/>
        <w:contextualSpacing/>
        <w:rPr>
          <w:rFonts w:cs="David"/>
          <w:rtl/>
        </w:rPr>
      </w:pPr>
      <w:r w:rsidRPr="00CD0886">
        <w:rPr>
          <w:rFonts w:cs="David"/>
          <w:rtl/>
        </w:rPr>
        <w:t>ו</w:t>
      </w:r>
      <w:r w:rsidRPr="00CD0886">
        <w:rPr>
          <w:rFonts w:cs="David" w:hint="cs"/>
          <w:rtl/>
        </w:rPr>
        <w:t>יש לחפש רעיונות נוספים שיבטאו את כניסתה של הבת תחת נועם עול מצוות מכל הבחינות שהזכרנו ולעודד את ביצוע הרעיונות שאין בהם בעיה הלכ</w:t>
      </w:r>
      <w:r w:rsidRPr="00CD0886">
        <w:rPr>
          <w:rFonts w:cs="David"/>
          <w:rtl/>
        </w:rPr>
        <w:t>ת</w:t>
      </w:r>
      <w:r w:rsidRPr="00CD0886">
        <w:rPr>
          <w:rFonts w:cs="David" w:hint="cs"/>
          <w:rtl/>
        </w:rPr>
        <w:t>ית.</w:t>
      </w:r>
    </w:p>
    <w:p w14:paraId="0D0F181C" w14:textId="77777777" w:rsidR="00CD0886" w:rsidRPr="00CD0886" w:rsidRDefault="00CD0886" w:rsidP="00CD0886">
      <w:pPr>
        <w:contextualSpacing/>
        <w:rPr>
          <w:rFonts w:cs="David"/>
          <w:rtl/>
        </w:rPr>
      </w:pPr>
    </w:p>
    <w:p w14:paraId="171C9B2E" w14:textId="77777777" w:rsidR="00CD0886" w:rsidRPr="00CD0886" w:rsidRDefault="00CD0886" w:rsidP="00CD0886">
      <w:pPr>
        <w:contextualSpacing/>
        <w:rPr>
          <w:rFonts w:cs="David"/>
          <w:sz w:val="10"/>
          <w:szCs w:val="10"/>
          <w:rtl/>
        </w:rPr>
      </w:pPr>
      <w:r w:rsidRPr="00CD0886">
        <w:rPr>
          <w:rFonts w:cs="David"/>
          <w:sz w:val="10"/>
          <w:szCs w:val="10"/>
          <w:rtl/>
        </w:rPr>
        <w:t>_________________________________________________________</w:t>
      </w:r>
    </w:p>
    <w:p w14:paraId="3F79DF3F" w14:textId="77777777" w:rsidR="00CD0886" w:rsidRPr="00CD0886" w:rsidRDefault="00CD0886" w:rsidP="00CD0886">
      <w:pPr>
        <w:contextualSpacing/>
        <w:rPr>
          <w:rFonts w:cs="David"/>
          <w:sz w:val="10"/>
          <w:szCs w:val="10"/>
          <w:rtl/>
        </w:rPr>
      </w:pPr>
    </w:p>
    <w:p w14:paraId="41763BD1" w14:textId="77777777" w:rsidR="00CD0886" w:rsidRPr="00FA476D" w:rsidRDefault="00CD0886" w:rsidP="00CD0886">
      <w:pPr>
        <w:widowControl w:val="0"/>
        <w:autoSpaceDE w:val="0"/>
        <w:autoSpaceDN w:val="0"/>
        <w:adjustRightInd w:val="0"/>
        <w:contextualSpacing/>
        <w:rPr>
          <w:rFonts w:cs="David"/>
          <w:sz w:val="21"/>
          <w:szCs w:val="21"/>
          <w:rtl/>
        </w:rPr>
      </w:pPr>
      <w:r w:rsidRPr="00FA476D">
        <w:rPr>
          <w:rFonts w:cs="David"/>
          <w:sz w:val="21"/>
          <w:szCs w:val="21"/>
          <w:vertAlign w:val="superscript"/>
          <w:rtl/>
        </w:rPr>
        <w:t>1</w:t>
      </w:r>
      <w:r w:rsidRPr="00FA476D">
        <w:rPr>
          <w:rFonts w:cs="David"/>
          <w:sz w:val="21"/>
          <w:szCs w:val="21"/>
          <w:rtl/>
        </w:rPr>
        <w:t xml:space="preserve"> </w:t>
      </w:r>
      <w:r w:rsidRPr="00FA476D">
        <w:rPr>
          <w:rFonts w:cs="David" w:hint="cs"/>
          <w:sz w:val="21"/>
          <w:szCs w:val="21"/>
          <w:rtl/>
        </w:rPr>
        <w:t>אמנם מעיקר הדין מצינו בגמרא (ברכות</w:t>
      </w:r>
      <w:r w:rsidRPr="00FA476D">
        <w:rPr>
          <w:rFonts w:cs="David"/>
          <w:sz w:val="21"/>
          <w:szCs w:val="21"/>
          <w:rtl/>
        </w:rPr>
        <w:t xml:space="preserve"> </w:t>
      </w:r>
      <w:r w:rsidRPr="00FA476D">
        <w:rPr>
          <w:rFonts w:cs="David" w:hint="cs"/>
          <w:sz w:val="21"/>
          <w:szCs w:val="21"/>
          <w:rtl/>
        </w:rPr>
        <w:t xml:space="preserve">כ ע"ב) "אמר רב </w:t>
      </w:r>
      <w:proofErr w:type="spellStart"/>
      <w:r w:rsidRPr="00FA476D">
        <w:rPr>
          <w:rFonts w:cs="David" w:hint="cs"/>
          <w:sz w:val="21"/>
          <w:szCs w:val="21"/>
          <w:rtl/>
        </w:rPr>
        <w:t>אדא</w:t>
      </w:r>
      <w:proofErr w:type="spellEnd"/>
      <w:r w:rsidRPr="00FA476D">
        <w:rPr>
          <w:rFonts w:cs="David" w:hint="cs"/>
          <w:sz w:val="21"/>
          <w:szCs w:val="21"/>
          <w:rtl/>
        </w:rPr>
        <w:t xml:space="preserve"> בר אהבה, נשים חייבות בקידוש היום", וכוונת הגמרא שם לומר, שמכיוון שהן חייבות, הן יכולות להוציא גם גברים ידי חובתם, וכן נפסק להלכה (שו"ע אורח חיים סי' </w:t>
      </w:r>
      <w:proofErr w:type="spellStart"/>
      <w:r w:rsidRPr="00FA476D">
        <w:rPr>
          <w:rFonts w:cs="David" w:hint="cs"/>
          <w:sz w:val="21"/>
          <w:szCs w:val="21"/>
          <w:rtl/>
        </w:rPr>
        <w:t>רעא</w:t>
      </w:r>
      <w:proofErr w:type="spellEnd"/>
      <w:r w:rsidRPr="00FA476D">
        <w:rPr>
          <w:rFonts w:cs="David" w:hint="cs"/>
          <w:sz w:val="21"/>
          <w:szCs w:val="21"/>
          <w:rtl/>
        </w:rPr>
        <w:t xml:space="preserve"> סע' ב). אך יש לציין, כי מיד לאחר מכן מצינו שם בגמרא "ת"ש, באמת אמרו, בן מברך לאביו וילד מברך לרבו ואשה מברכת לבעלה, אבל אמרו חכמים, </w:t>
      </w:r>
      <w:proofErr w:type="spellStart"/>
      <w:r w:rsidRPr="00FA476D">
        <w:rPr>
          <w:rFonts w:cs="David" w:hint="cs"/>
          <w:sz w:val="21"/>
          <w:szCs w:val="21"/>
          <w:rtl/>
        </w:rPr>
        <w:t>תבא</w:t>
      </w:r>
      <w:proofErr w:type="spellEnd"/>
      <w:r w:rsidRPr="00FA476D">
        <w:rPr>
          <w:rFonts w:cs="David" w:hint="cs"/>
          <w:sz w:val="21"/>
          <w:szCs w:val="21"/>
          <w:rtl/>
        </w:rPr>
        <w:t xml:space="preserve"> מארה לאדם שאשתו ובניו </w:t>
      </w:r>
      <w:proofErr w:type="spellStart"/>
      <w:r w:rsidRPr="00FA476D">
        <w:rPr>
          <w:rFonts w:cs="David" w:hint="cs"/>
          <w:sz w:val="21"/>
          <w:szCs w:val="21"/>
          <w:rtl/>
        </w:rPr>
        <w:t>מברכין</w:t>
      </w:r>
      <w:proofErr w:type="spellEnd"/>
      <w:r w:rsidRPr="00FA476D">
        <w:rPr>
          <w:rFonts w:cs="David" w:hint="cs"/>
          <w:sz w:val="21"/>
          <w:szCs w:val="21"/>
          <w:rtl/>
        </w:rPr>
        <w:t xml:space="preserve"> לו". ברם, שם הכוונה דווקא למי שאינו יודע ואינו לומד וסומך על בני ביתו שיוציאוהו ידי חובה באופן קבוע, ועל כן אין להסתייגות זו קשר לשאלה שלפנינו, ועל כן הכריעו להלכה </w:t>
      </w:r>
      <w:proofErr w:type="spellStart"/>
      <w:r w:rsidRPr="00FA476D">
        <w:rPr>
          <w:rFonts w:cs="David" w:hint="cs"/>
          <w:sz w:val="21"/>
          <w:szCs w:val="21"/>
          <w:rtl/>
        </w:rPr>
        <w:t>הט"ז</w:t>
      </w:r>
      <w:proofErr w:type="spellEnd"/>
      <w:r w:rsidRPr="00FA476D">
        <w:rPr>
          <w:rFonts w:cs="David" w:hint="cs"/>
          <w:sz w:val="21"/>
          <w:szCs w:val="21"/>
          <w:rtl/>
        </w:rPr>
        <w:t xml:space="preserve"> ו"מגן אברהם" </w:t>
      </w:r>
      <w:proofErr w:type="spellStart"/>
      <w:r w:rsidRPr="00FA476D">
        <w:rPr>
          <w:rFonts w:cs="David" w:hint="cs"/>
          <w:sz w:val="21"/>
          <w:szCs w:val="21"/>
          <w:rtl/>
        </w:rPr>
        <w:t>והגר"א</w:t>
      </w:r>
      <w:proofErr w:type="spellEnd"/>
      <w:r w:rsidRPr="00FA476D">
        <w:rPr>
          <w:rFonts w:cs="David" w:hint="cs"/>
          <w:sz w:val="21"/>
          <w:szCs w:val="21"/>
          <w:rtl/>
        </w:rPr>
        <w:t xml:space="preserve"> ועוד אחרונים כפשט </w:t>
      </w:r>
      <w:proofErr w:type="spellStart"/>
      <w:r w:rsidRPr="00FA476D">
        <w:rPr>
          <w:rFonts w:cs="David" w:hint="cs"/>
          <w:sz w:val="21"/>
          <w:szCs w:val="21"/>
          <w:rtl/>
        </w:rPr>
        <w:t>השו"ע</w:t>
      </w:r>
      <w:proofErr w:type="spellEnd"/>
      <w:r w:rsidRPr="00FA476D">
        <w:rPr>
          <w:rFonts w:cs="David" w:hint="cs"/>
          <w:sz w:val="21"/>
          <w:szCs w:val="21"/>
          <w:rtl/>
        </w:rPr>
        <w:t xml:space="preserve">, וכנגד </w:t>
      </w:r>
      <w:proofErr w:type="spellStart"/>
      <w:r w:rsidRPr="00FA476D">
        <w:rPr>
          <w:rFonts w:cs="David" w:hint="cs"/>
          <w:sz w:val="21"/>
          <w:szCs w:val="21"/>
          <w:rtl/>
        </w:rPr>
        <w:t>רש"ל</w:t>
      </w:r>
      <w:proofErr w:type="spellEnd"/>
      <w:r w:rsidRPr="00FA476D">
        <w:rPr>
          <w:rFonts w:cs="David" w:hint="cs"/>
          <w:sz w:val="21"/>
          <w:szCs w:val="21"/>
          <w:rtl/>
        </w:rPr>
        <w:t xml:space="preserve"> וב"ח, שמעיקר הדין אשה מוציאה את האיש ידי חובת קידוש היום. וכן הכריע בעל "משנה ברורה" (סי' </w:t>
      </w:r>
      <w:proofErr w:type="spellStart"/>
      <w:r w:rsidRPr="00FA476D">
        <w:rPr>
          <w:rFonts w:cs="David" w:hint="cs"/>
          <w:sz w:val="21"/>
          <w:szCs w:val="21"/>
          <w:rtl/>
        </w:rPr>
        <w:t>רעא</w:t>
      </w:r>
      <w:proofErr w:type="spellEnd"/>
      <w:r w:rsidRPr="00FA476D">
        <w:rPr>
          <w:rFonts w:cs="David" w:hint="cs"/>
          <w:sz w:val="21"/>
          <w:szCs w:val="21"/>
          <w:rtl/>
        </w:rPr>
        <w:t xml:space="preserve">) והזהיר שם שלכתחילה לא תוציא אשה אנשים שאינם מבני ביתה </w:t>
      </w:r>
      <w:proofErr w:type="spellStart"/>
      <w:r w:rsidRPr="00FA476D">
        <w:rPr>
          <w:rFonts w:cs="David" w:hint="cs"/>
          <w:sz w:val="21"/>
          <w:szCs w:val="21"/>
          <w:rtl/>
        </w:rPr>
        <w:t>ד"זילא</w:t>
      </w:r>
      <w:proofErr w:type="spellEnd"/>
      <w:r w:rsidRPr="00FA476D">
        <w:rPr>
          <w:rFonts w:cs="David" w:hint="cs"/>
          <w:sz w:val="21"/>
          <w:szCs w:val="21"/>
          <w:rtl/>
        </w:rPr>
        <w:t xml:space="preserve"> מילתא", ומקורו </w:t>
      </w:r>
      <w:proofErr w:type="spellStart"/>
      <w:r w:rsidRPr="00FA476D">
        <w:rPr>
          <w:rFonts w:cs="David" w:hint="cs"/>
          <w:sz w:val="21"/>
          <w:szCs w:val="21"/>
          <w:rtl/>
        </w:rPr>
        <w:t>בתוס</w:t>
      </w:r>
      <w:proofErr w:type="spellEnd"/>
      <w:r w:rsidRPr="00FA476D">
        <w:rPr>
          <w:rFonts w:cs="David" w:hint="cs"/>
          <w:sz w:val="21"/>
          <w:szCs w:val="21"/>
          <w:rtl/>
        </w:rPr>
        <w:t>' סוכה (לח ע"א ד"ה באמת אמרו בסופו). וכן המליץ לנהוג ב"שמירת שבת כהלכתה" (</w:t>
      </w:r>
      <w:proofErr w:type="spellStart"/>
      <w:r w:rsidRPr="00FA476D">
        <w:rPr>
          <w:rFonts w:cs="David" w:hint="cs"/>
          <w:sz w:val="21"/>
          <w:szCs w:val="21"/>
          <w:rtl/>
        </w:rPr>
        <w:t>ח"ב</w:t>
      </w:r>
      <w:proofErr w:type="spellEnd"/>
      <w:r w:rsidRPr="00FA476D">
        <w:rPr>
          <w:rFonts w:cs="David" w:hint="cs"/>
          <w:sz w:val="21"/>
          <w:szCs w:val="21"/>
          <w:rtl/>
        </w:rPr>
        <w:t xml:space="preserve"> פ' נא סע' ט).</w:t>
      </w:r>
    </w:p>
    <w:p w14:paraId="6FE1A926" w14:textId="77777777" w:rsidR="00CD0886" w:rsidRPr="00FA476D" w:rsidRDefault="00CD0886" w:rsidP="00CD0886">
      <w:pPr>
        <w:widowControl w:val="0"/>
        <w:autoSpaceDE w:val="0"/>
        <w:autoSpaceDN w:val="0"/>
        <w:adjustRightInd w:val="0"/>
        <w:contextualSpacing/>
        <w:rPr>
          <w:rFonts w:cs="David"/>
          <w:sz w:val="21"/>
          <w:szCs w:val="21"/>
        </w:rPr>
      </w:pPr>
      <w:r w:rsidRPr="00FA476D">
        <w:rPr>
          <w:rFonts w:cs="David"/>
          <w:sz w:val="21"/>
          <w:szCs w:val="21"/>
          <w:vertAlign w:val="superscript"/>
          <w:rtl/>
        </w:rPr>
        <w:t>2</w:t>
      </w:r>
      <w:r w:rsidRPr="00FA476D">
        <w:rPr>
          <w:rFonts w:cs="David"/>
          <w:sz w:val="21"/>
          <w:szCs w:val="21"/>
          <w:rtl/>
        </w:rPr>
        <w:t xml:space="preserve"> </w:t>
      </w:r>
      <w:r w:rsidRPr="00FA476D">
        <w:rPr>
          <w:rFonts w:cs="David" w:hint="cs"/>
          <w:sz w:val="21"/>
          <w:szCs w:val="21"/>
          <w:rtl/>
        </w:rPr>
        <w:t>שם.</w:t>
      </w:r>
    </w:p>
    <w:p w14:paraId="72E87451" w14:textId="77777777" w:rsidR="00601083" w:rsidRPr="006138C2" w:rsidRDefault="00601083" w:rsidP="006138C2">
      <w:pPr>
        <w:ind w:left="3825"/>
        <w:contextualSpacing/>
        <w:jc w:val="center"/>
        <w:rPr>
          <w:rFonts w:cs="David"/>
          <w:rtl/>
          <w:lang w:eastAsia="he-IL"/>
        </w:rPr>
      </w:pPr>
    </w:p>
    <w:p w14:paraId="267010F0" w14:textId="77777777" w:rsidR="004A331C" w:rsidRPr="004A331C" w:rsidRDefault="004A331C" w:rsidP="004A331C">
      <w:pPr>
        <w:ind w:left="4251"/>
        <w:jc w:val="center"/>
        <w:rPr>
          <w:rFonts w:cs="David"/>
          <w:rtl/>
          <w:lang w:eastAsia="he-IL"/>
        </w:rPr>
      </w:pPr>
      <w:r w:rsidRPr="004A331C">
        <w:rPr>
          <w:rFonts w:cs="David"/>
          <w:rtl/>
          <w:lang w:eastAsia="he-IL"/>
        </w:rPr>
        <w:t>בשם צוות המשיבים ובברכת התורה,</w:t>
      </w:r>
    </w:p>
    <w:p w14:paraId="344680E2" w14:textId="77777777" w:rsidR="004A331C" w:rsidRPr="004A331C" w:rsidRDefault="004A331C" w:rsidP="004A331C">
      <w:pPr>
        <w:ind w:left="4251"/>
        <w:jc w:val="center"/>
        <w:rPr>
          <w:rFonts w:cs="David"/>
          <w:sz w:val="12"/>
          <w:szCs w:val="12"/>
          <w:rtl/>
          <w:lang w:eastAsia="he-IL"/>
        </w:rPr>
      </w:pPr>
    </w:p>
    <w:p w14:paraId="0FCB32B3" w14:textId="77777777" w:rsidR="004A331C" w:rsidRPr="004A331C" w:rsidRDefault="004A331C" w:rsidP="004A331C">
      <w:pPr>
        <w:keepNext/>
        <w:ind w:left="4251"/>
        <w:jc w:val="center"/>
        <w:outlineLvl w:val="1"/>
        <w:rPr>
          <w:rFonts w:cs="David"/>
          <w:noProof/>
          <w:rtl/>
          <w:lang w:eastAsia="he-IL"/>
        </w:rPr>
      </w:pPr>
      <w:r w:rsidRPr="004A331C">
        <w:rPr>
          <w:rFonts w:cs="David"/>
          <w:noProof/>
          <w:rtl/>
          <w:lang w:eastAsia="he-IL"/>
        </w:rPr>
        <w:t>הרב משה ארנרייך          הרב יוסף כרמל</w:t>
      </w:r>
    </w:p>
    <w:p w14:paraId="0164B348" w14:textId="4B818343" w:rsidR="004A331C" w:rsidRPr="004A331C" w:rsidRDefault="004A331C" w:rsidP="004A331C">
      <w:pPr>
        <w:ind w:left="4251"/>
        <w:jc w:val="center"/>
        <w:rPr>
          <w:rFonts w:cs="David"/>
          <w:rtl/>
          <w:lang w:eastAsia="he-IL"/>
        </w:rPr>
      </w:pPr>
      <w:r w:rsidRPr="004A331C">
        <w:rPr>
          <w:rFonts w:cs="David"/>
          <w:rtl/>
          <w:lang w:eastAsia="he-IL"/>
        </w:rPr>
        <w:t>ראשי הכולל</w:t>
      </w:r>
    </w:p>
    <w:p w14:paraId="353E3ACC" w14:textId="77777777" w:rsidR="005648DA" w:rsidRDefault="005648DA" w:rsidP="004A331C">
      <w:pPr>
        <w:jc w:val="both"/>
        <w:rPr>
          <w:rFonts w:cs="David"/>
          <w:u w:val="single"/>
          <w:rtl/>
          <w:lang w:eastAsia="he-IL"/>
        </w:rPr>
      </w:pPr>
    </w:p>
    <w:p w14:paraId="07641921" w14:textId="6520C54E" w:rsidR="004A331C" w:rsidRPr="004A331C" w:rsidRDefault="004A331C" w:rsidP="004A331C">
      <w:pPr>
        <w:jc w:val="both"/>
        <w:rPr>
          <w:rFonts w:cs="David"/>
          <w:u w:val="single"/>
          <w:rtl/>
          <w:lang w:eastAsia="he-IL"/>
        </w:rPr>
      </w:pPr>
      <w:r w:rsidRPr="004A331C">
        <w:rPr>
          <w:rFonts w:cs="David"/>
          <w:u w:val="single"/>
          <w:rtl/>
          <w:lang w:eastAsia="he-IL"/>
        </w:rPr>
        <w:t>חברי הועדה המייעצת</w:t>
      </w:r>
      <w:r w:rsidRPr="004A331C">
        <w:rPr>
          <w:rFonts w:cs="David" w:hint="cs"/>
          <w:u w:val="single"/>
          <w:rtl/>
          <w:lang w:eastAsia="he-IL"/>
        </w:rPr>
        <w:t xml:space="preserve"> לכרכים ד-ט</w:t>
      </w:r>
      <w:r w:rsidRPr="004A331C">
        <w:rPr>
          <w:rFonts w:cs="David"/>
          <w:u w:val="single"/>
          <w:rtl/>
          <w:lang w:eastAsia="he-IL"/>
        </w:rPr>
        <w:t>:</w:t>
      </w:r>
    </w:p>
    <w:p w14:paraId="2624ABDB" w14:textId="046E7401" w:rsidR="004A331C" w:rsidRPr="004A331C" w:rsidRDefault="004A331C" w:rsidP="004A331C">
      <w:pPr>
        <w:jc w:val="both"/>
        <w:rPr>
          <w:rFonts w:cs="David"/>
          <w:sz w:val="23"/>
          <w:szCs w:val="23"/>
          <w:rtl/>
          <w:lang w:eastAsia="he-IL"/>
        </w:rPr>
      </w:pPr>
      <w:r w:rsidRPr="004A331C">
        <w:rPr>
          <w:rFonts w:cs="David"/>
          <w:sz w:val="23"/>
          <w:szCs w:val="23"/>
          <w:rtl/>
          <w:lang w:eastAsia="he-IL"/>
        </w:rPr>
        <w:t>הרב זלמן נחמיה גולדברג</w:t>
      </w:r>
    </w:p>
    <w:p w14:paraId="67E1B21E" w14:textId="77777777" w:rsidR="004A331C" w:rsidRPr="004A331C" w:rsidRDefault="004A331C" w:rsidP="004A331C">
      <w:pPr>
        <w:jc w:val="both"/>
        <w:rPr>
          <w:rFonts w:cs="David"/>
          <w:sz w:val="23"/>
          <w:szCs w:val="23"/>
          <w:rtl/>
          <w:lang w:eastAsia="he-IL"/>
        </w:rPr>
      </w:pPr>
      <w:r w:rsidRPr="004A331C">
        <w:rPr>
          <w:rFonts w:cs="David"/>
          <w:sz w:val="23"/>
          <w:szCs w:val="23"/>
          <w:rtl/>
          <w:lang w:eastAsia="he-IL"/>
        </w:rPr>
        <w:t>הרב נחום אליעזר רבינוביץ</w:t>
      </w:r>
    </w:p>
    <w:p w14:paraId="587B26A0" w14:textId="77777777" w:rsidR="004A331C" w:rsidRPr="004A331C" w:rsidRDefault="004A331C" w:rsidP="004A331C">
      <w:pPr>
        <w:jc w:val="both"/>
        <w:rPr>
          <w:rFonts w:cs="David"/>
          <w:sz w:val="23"/>
          <w:szCs w:val="23"/>
          <w:rtl/>
          <w:lang w:eastAsia="he-IL"/>
        </w:rPr>
      </w:pPr>
      <w:r w:rsidRPr="004A331C">
        <w:rPr>
          <w:rFonts w:cs="David"/>
          <w:sz w:val="23"/>
          <w:szCs w:val="23"/>
          <w:rtl/>
          <w:lang w:eastAsia="he-IL"/>
        </w:rPr>
        <w:t>הרב ישראל רוזן</w:t>
      </w:r>
    </w:p>
    <w:p w14:paraId="605CF174" w14:textId="77777777" w:rsidR="006138C2" w:rsidRPr="005648DA" w:rsidRDefault="006138C2" w:rsidP="005648DA">
      <w:pPr>
        <w:jc w:val="both"/>
        <w:rPr>
          <w:rFonts w:cs="David"/>
          <w:sz w:val="23"/>
          <w:szCs w:val="23"/>
          <w:rtl/>
          <w:lang w:eastAsia="he-IL"/>
        </w:rPr>
      </w:pPr>
    </w:p>
    <w:p w14:paraId="7D5DE113" w14:textId="2F626872" w:rsidR="00E620CB" w:rsidRPr="00C71B59" w:rsidRDefault="00FA5342" w:rsidP="00C71B59">
      <w:pPr>
        <w:contextualSpacing/>
        <w:jc w:val="center"/>
        <w:rPr>
          <w:rFonts w:cs="David"/>
          <w:b/>
          <w:bCs/>
          <w:color w:val="0070C0"/>
          <w:rtl/>
          <w:lang w:eastAsia="he-IL"/>
        </w:rPr>
      </w:pPr>
      <w:hyperlink r:id="rId25" w:history="1">
        <w:r w:rsidR="002E4F14" w:rsidRPr="00C71B59">
          <w:rPr>
            <w:rStyle w:val="Hyperlink"/>
            <w:rFonts w:cs="David" w:hint="cs"/>
            <w:b/>
            <w:bCs/>
            <w:color w:val="002060"/>
            <w:rtl/>
            <w:lang w:eastAsia="he-IL"/>
          </w:rPr>
          <w:t>ארץ חמדה – קישור לשו"ת במראה הבזק באתר</w:t>
        </w:r>
      </w:hyperlink>
    </w:p>
    <w:p w14:paraId="3E335FFD" w14:textId="77777777" w:rsidR="000801C9" w:rsidRDefault="000801C9" w:rsidP="00C71B59">
      <w:pPr>
        <w:contextualSpacing/>
        <w:jc w:val="center"/>
        <w:rPr>
          <w:rFonts w:cs="David"/>
          <w:b/>
          <w:bCs/>
          <w:color w:val="0070C0"/>
          <w:rtl/>
          <w:lang w:eastAsia="he-IL"/>
        </w:rPr>
      </w:pPr>
    </w:p>
    <w:p w14:paraId="11751DAB" w14:textId="1FB30E1F" w:rsidR="00E404F4" w:rsidRPr="00C71B59" w:rsidRDefault="00612652" w:rsidP="00C71B59">
      <w:pPr>
        <w:contextualSpacing/>
        <w:jc w:val="center"/>
        <w:rPr>
          <w:color w:val="0070C0"/>
          <w:rtl/>
        </w:rPr>
      </w:pPr>
      <w:r w:rsidRPr="00C71B59">
        <w:rPr>
          <w:rFonts w:cs="David" w:hint="cs"/>
          <w:b/>
          <w:bCs/>
          <w:color w:val="0070C0"/>
          <w:rtl/>
          <w:lang w:eastAsia="he-IL"/>
        </w:rPr>
        <w:t>ני</w:t>
      </w:r>
      <w:r w:rsidR="002E4F14" w:rsidRPr="00C71B59">
        <w:rPr>
          <w:rFonts w:cs="David"/>
          <w:b/>
          <w:bCs/>
          <w:color w:val="0070C0"/>
          <w:rtl/>
          <w:lang w:eastAsia="he-IL"/>
        </w:rPr>
        <w:t>תן ליצור קשר עם הכותבים דרך</w:t>
      </w:r>
      <w:r w:rsidR="002E4F14" w:rsidRPr="00C71B59">
        <w:rPr>
          <w:rFonts w:cs="David" w:hint="cs"/>
          <w:b/>
          <w:bCs/>
          <w:color w:val="0070C0"/>
          <w:rtl/>
          <w:lang w:eastAsia="he-IL"/>
        </w:rPr>
        <w:t xml:space="preserve">: </w:t>
      </w:r>
      <w:r w:rsidR="002E4F14" w:rsidRPr="00C71B59">
        <w:rPr>
          <w:rFonts w:cs="David"/>
          <w:b/>
          <w:bCs/>
          <w:color w:val="0070C0"/>
          <w:rtl/>
          <w:lang w:eastAsia="he-IL"/>
        </w:rPr>
        <w:t xml:space="preserve"> </w:t>
      </w:r>
      <w:hyperlink r:id="rId26" w:history="1">
        <w:r w:rsidR="002E4F14" w:rsidRPr="00C71B59">
          <w:rPr>
            <w:color w:val="0070C0"/>
          </w:rPr>
          <w:t>info@eretzhemdah.org</w:t>
        </w:r>
      </w:hyperlink>
    </w:p>
    <w:p w14:paraId="12859FAF" w14:textId="77777777" w:rsidR="0018470F" w:rsidRDefault="0018470F" w:rsidP="000801C9">
      <w:pPr>
        <w:ind w:left="-2"/>
        <w:contextualSpacing/>
        <w:rPr>
          <w:rFonts w:cs="David"/>
          <w:rtl/>
        </w:rPr>
      </w:pPr>
    </w:p>
    <w:p w14:paraId="205F9335" w14:textId="31833B45" w:rsidR="00CD0886" w:rsidRDefault="00CD0886" w:rsidP="000801C9">
      <w:pPr>
        <w:ind w:left="-2"/>
        <w:contextualSpacing/>
        <w:rPr>
          <w:rFonts w:cs="David"/>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5F6C0F1E">
            <wp:simplePos x="0" y="0"/>
            <wp:positionH relativeFrom="margin">
              <wp:align>center</wp:align>
            </wp:positionH>
            <wp:positionV relativeFrom="paragraph">
              <wp:posOffset>76200</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2A35AF3C" w14:textId="721666B4" w:rsidR="00CD0886" w:rsidRDefault="00CD0886" w:rsidP="000801C9">
      <w:pPr>
        <w:ind w:left="-2"/>
        <w:contextualSpacing/>
        <w:rPr>
          <w:rFonts w:cs="David"/>
          <w:rtl/>
        </w:rPr>
      </w:pPr>
    </w:p>
    <w:p w14:paraId="069169D0" w14:textId="1D6313F1" w:rsidR="00CD0886" w:rsidRDefault="00CD0886" w:rsidP="000801C9">
      <w:pPr>
        <w:ind w:left="-2"/>
        <w:contextualSpacing/>
        <w:rPr>
          <w:rFonts w:cs="David"/>
          <w:rtl/>
        </w:rPr>
      </w:pPr>
    </w:p>
    <w:p w14:paraId="59160ACB" w14:textId="4F64D057" w:rsidR="00CD0886" w:rsidRDefault="00CD0886" w:rsidP="000801C9">
      <w:pPr>
        <w:ind w:left="-2"/>
        <w:contextualSpacing/>
        <w:rPr>
          <w:rFonts w:cs="David"/>
          <w:rtl/>
        </w:rPr>
      </w:pPr>
    </w:p>
    <w:p w14:paraId="6FE9E1ED" w14:textId="77777777" w:rsidR="00CD0886" w:rsidRDefault="00CD0886" w:rsidP="000801C9">
      <w:pPr>
        <w:ind w:left="-2"/>
        <w:contextualSpacing/>
        <w:rPr>
          <w:rFonts w:cs="David"/>
          <w:rtl/>
        </w:rPr>
      </w:pPr>
    </w:p>
    <w:p w14:paraId="142C6578" w14:textId="2A12C79E" w:rsidR="00CD0886" w:rsidRDefault="00CD0886" w:rsidP="000801C9">
      <w:pPr>
        <w:ind w:left="-2"/>
        <w:contextualSpacing/>
        <w:rPr>
          <w:rFonts w:cs="David"/>
          <w:rtl/>
        </w:rPr>
      </w:pPr>
    </w:p>
    <w:p w14:paraId="76C29EE5" w14:textId="7A588A2A" w:rsidR="009D10EF" w:rsidRDefault="009D10EF" w:rsidP="000801C9">
      <w:pPr>
        <w:ind w:left="-2"/>
        <w:contextualSpacing/>
        <w:rPr>
          <w:rFonts w:cs="David"/>
        </w:rPr>
      </w:pPr>
    </w:p>
    <w:sectPr w:rsidR="009D10EF" w:rsidSect="000B4C39">
      <w:headerReference w:type="default" r:id="rId28"/>
      <w:headerReference w:type="first" r:id="rId29"/>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Guttman Keren">
    <w:altName w:val="Arial"/>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6DCE97B2" w:rsidR="003056AF" w:rsidRPr="00FA505B" w:rsidRDefault="00C47F8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נח</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130395"/>
    <w:multiLevelType w:val="hybridMultilevel"/>
    <w:tmpl w:val="BACA5444"/>
    <w:lvl w:ilvl="0" w:tplc="26C01A7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275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67C"/>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C39"/>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70F"/>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56B"/>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68"/>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77A"/>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D5B"/>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29"/>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929"/>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6D"/>
    <w:rsid w:val="00FA4A47"/>
    <w:rsid w:val="00FA4AD9"/>
    <w:rsid w:val="00FA4BA2"/>
    <w:rsid w:val="00FA4CA5"/>
    <w:rsid w:val="00FA505B"/>
    <w:rsid w:val="00FA5268"/>
    <w:rsid w:val="00FA5342"/>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3E91"/>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275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41B5"/>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0629300">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https://www.yeshiva.org.il/midrash/56621" TargetMode="External"/><Relationship Id="rId26" Type="http://schemas.openxmlformats.org/officeDocument/2006/relationships/hyperlink" Target="mailto:info@eretzhemdah.org" TargetMode="Externa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hyperlink" Target="https://www.eretzhemdah.org/ebooks.asp?lang=he&amp;top=1&amp;pageid=28" TargetMode="External"/><Relationship Id="rId2" Type="http://schemas.openxmlformats.org/officeDocument/2006/relationships/numbering" Target="numbering.xml"/><Relationship Id="rId16" Type="http://schemas.openxmlformats.org/officeDocument/2006/relationships/hyperlink" Target="mailto:info@eretzhemdah.org" TargetMode="External"/><Relationship Id="rId20" Type="http://schemas.openxmlformats.org/officeDocument/2006/relationships/hyperlink" Target="https://www.yeshiva.org.il/midrash/5548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7.jpe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yeshiva.org.il/midrash/5255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image" Target="media/image9.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7</Pages>
  <Words>5505</Words>
  <Characters>27526</Characters>
  <Application>Microsoft Office Word</Application>
  <DocSecurity>0</DocSecurity>
  <Lines>229</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17</cp:revision>
  <cp:lastPrinted>2025-01-30T11:17:00Z</cp:lastPrinted>
  <dcterms:created xsi:type="dcterms:W3CDTF">2025-09-14T12:33:00Z</dcterms:created>
  <dcterms:modified xsi:type="dcterms:W3CDTF">2025-10-23T10:16:00Z</dcterms:modified>
</cp:coreProperties>
</file>