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5BCE3FBA">
                  <wp:simplePos x="0" y="0"/>
                  <wp:positionH relativeFrom="column">
                    <wp:posOffset>2548890</wp:posOffset>
                  </wp:positionH>
                  <wp:positionV relativeFrom="paragraph">
                    <wp:posOffset>73660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5"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9FE8473" w:rsidR="00820DBE" w:rsidRPr="00820DBE" w:rsidRDefault="00820DBE" w:rsidP="002D608A">
            <w:pPr>
              <w:contextualSpacing/>
              <w:rPr>
                <w:rFonts w:ascii="Arial Black" w:hAnsi="Arial Black" w:cs="David"/>
                <w:b/>
                <w:bCs/>
                <w:iCs/>
                <w:color w:val="993300"/>
                <w:sz w:val="8"/>
                <w:szCs w:val="8"/>
                <w:rtl/>
              </w:rPr>
            </w:pPr>
          </w:p>
          <w:p w14:paraId="4B6E0FD0" w14:textId="225CC835"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A80E2A">
              <w:rPr>
                <w:rFonts w:ascii="Arial Black" w:hAnsi="Arial Black" w:cs="David" w:hint="cs"/>
                <w:b/>
                <w:bCs/>
                <w:iCs/>
                <w:color w:val="960000"/>
                <w:sz w:val="56"/>
                <w:szCs w:val="56"/>
                <w:rtl/>
              </w:rPr>
              <w:t xml:space="preserve"> </w:t>
            </w:r>
            <w:r w:rsidR="00572BDA">
              <w:rPr>
                <w:rFonts w:ascii="Arial Black" w:hAnsi="Arial Black" w:cs="David" w:hint="cs"/>
                <w:b/>
                <w:bCs/>
                <w:iCs/>
                <w:color w:val="960000"/>
                <w:sz w:val="56"/>
                <w:szCs w:val="56"/>
                <w:rtl/>
              </w:rPr>
              <w:t>חיי שרה</w:t>
            </w:r>
            <w:r w:rsidR="00C17DA7">
              <w:rPr>
                <w:rFonts w:ascii="Arial Black" w:hAnsi="Arial Black" w:cs="David" w:hint="cs"/>
                <w:b/>
                <w:bCs/>
                <w:iCs/>
                <w:color w:val="960000"/>
                <w:sz w:val="50"/>
                <w:szCs w:val="50"/>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C60FEB">
        <w:trPr>
          <w:trHeight w:val="570"/>
        </w:trPr>
        <w:tc>
          <w:tcPr>
            <w:tcW w:w="8363" w:type="dxa"/>
            <w:vAlign w:val="center"/>
          </w:tcPr>
          <w:p w14:paraId="01B97C0D" w14:textId="77777777" w:rsidR="00676D99" w:rsidRPr="00676D99" w:rsidRDefault="00676D99" w:rsidP="00676D99">
            <w:pPr>
              <w:ind w:left="312" w:right="454"/>
              <w:contextualSpacing/>
              <w:jc w:val="center"/>
              <w:rPr>
                <w:rFonts w:ascii="FrankRuehl" w:hAnsi="FrankRuehl" w:cs="FrankRuehl"/>
                <w:b/>
                <w:bCs/>
                <w:color w:val="0070C0"/>
                <w:sz w:val="32"/>
                <w:szCs w:val="32"/>
                <w:u w:val="single"/>
                <w:rtl/>
              </w:rPr>
            </w:pPr>
            <w:bookmarkStart w:id="1" w:name="_Hlk184807529"/>
            <w:r w:rsidRPr="00676D99">
              <w:rPr>
                <w:rFonts w:ascii="FrankRuehl" w:hAnsi="FrankRuehl" w:cs="FrankRuehl" w:hint="cs"/>
                <w:b/>
                <w:bCs/>
                <w:color w:val="0070C0"/>
                <w:sz w:val="32"/>
                <w:szCs w:val="32"/>
                <w:u w:val="single"/>
                <w:rtl/>
              </w:rPr>
              <w:t>היכן באמת נמצאת מערת המכפלה?</w:t>
            </w:r>
          </w:p>
          <w:p w14:paraId="3C30A566" w14:textId="10512972" w:rsidR="00313B91" w:rsidRPr="00D037B4" w:rsidRDefault="00E8510C" w:rsidP="002D608A">
            <w:pPr>
              <w:ind w:left="312" w:right="454"/>
              <w:contextualSpacing/>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EF7EBB">
        <w:trPr>
          <w:trHeight w:val="12106"/>
        </w:trPr>
        <w:tc>
          <w:tcPr>
            <w:tcW w:w="11198" w:type="dxa"/>
            <w:gridSpan w:val="2"/>
          </w:tcPr>
          <w:p w14:paraId="19BE1D2D" w14:textId="77777777" w:rsidR="00676D99" w:rsidRPr="00676D99" w:rsidRDefault="00676D99" w:rsidP="00676D99">
            <w:pPr>
              <w:ind w:left="28"/>
              <w:rPr>
                <w:rFonts w:ascii="David" w:hAnsi="David" w:cs="David"/>
                <w:rtl/>
              </w:rPr>
            </w:pPr>
            <w:bookmarkStart w:id="2" w:name="_Hlk213923647"/>
            <w:r w:rsidRPr="00676D99">
              <w:rPr>
                <w:rFonts w:ascii="David" w:hAnsi="David" w:cs="David" w:hint="cs"/>
                <w:rtl/>
              </w:rPr>
              <w:t>קניין מערת המכפלה, הפותח את פרשתנו, הוא אירוע מכונן בתולדות האומה. בקניית המערה על ידי אברהם, נפתח הפתח לקנייתה של כל ארץ ישראל. התורה נפתחה ב"בראשית" ולא ב"החודש הזה לכם", כדי להדגיש שארץ ישראל שייכת לעם ישראל (רש"י בראשית א, א), ורכישת מערת המכפלה פותחת את הרשימה של המקומות, שאומות העולם אינם יכולים לטעון עליהם, שלנו הם. כך מפורש במדרש: "</w:t>
            </w:r>
            <w:r w:rsidRPr="00676D99">
              <w:rPr>
                <w:rFonts w:ascii="David" w:hAnsi="David" w:cs="David"/>
                <w:rtl/>
              </w:rPr>
              <w:t xml:space="preserve">זה אחד משלשה מקומות שאין אומות העולם </w:t>
            </w:r>
            <w:proofErr w:type="spellStart"/>
            <w:r w:rsidRPr="00676D99">
              <w:rPr>
                <w:rFonts w:ascii="David" w:hAnsi="David" w:cs="David"/>
                <w:rtl/>
              </w:rPr>
              <w:t>יכולין</w:t>
            </w:r>
            <w:proofErr w:type="spellEnd"/>
            <w:r w:rsidRPr="00676D99">
              <w:rPr>
                <w:rFonts w:ascii="David" w:hAnsi="David" w:cs="David"/>
                <w:rtl/>
              </w:rPr>
              <w:t xml:space="preserve"> להונות את ישראל לומר גזולים הן בידכם ואלו הן, מערת המכפלה, ובית המקדש, וקבורתו של יוסף</w:t>
            </w:r>
            <w:r w:rsidRPr="00676D99">
              <w:rPr>
                <w:rFonts w:ascii="David" w:hAnsi="David" w:cs="David" w:hint="cs"/>
                <w:rtl/>
              </w:rPr>
              <w:t>"</w:t>
            </w:r>
            <w:r w:rsidRPr="00676D99">
              <w:rPr>
                <w:rFonts w:ascii="David" w:hAnsi="David" w:cs="David"/>
                <w:rtl/>
              </w:rPr>
              <w:t xml:space="preserve"> </w:t>
            </w:r>
            <w:r w:rsidRPr="00676D99">
              <w:rPr>
                <w:rFonts w:ascii="David" w:hAnsi="David" w:cs="David" w:hint="cs"/>
                <w:rtl/>
              </w:rPr>
              <w:t>(</w:t>
            </w:r>
            <w:r w:rsidRPr="00676D99">
              <w:rPr>
                <w:rFonts w:ascii="David" w:hAnsi="David" w:cs="David"/>
                <w:rtl/>
              </w:rPr>
              <w:t>בראשית רבה פרשה עט סימן ז)</w:t>
            </w:r>
            <w:r w:rsidRPr="00676D99">
              <w:rPr>
                <w:rFonts w:ascii="David" w:hAnsi="David" w:cs="David" w:hint="cs"/>
                <w:rtl/>
              </w:rPr>
              <w:t xml:space="preserve">. </w:t>
            </w:r>
          </w:p>
          <w:p w14:paraId="2D7217AC" w14:textId="77777777" w:rsidR="00676D99" w:rsidRPr="00676D99" w:rsidRDefault="00676D99" w:rsidP="00676D99">
            <w:pPr>
              <w:ind w:left="28"/>
              <w:rPr>
                <w:rFonts w:ascii="David" w:hAnsi="David" w:cs="David"/>
                <w:rtl/>
              </w:rPr>
            </w:pPr>
            <w:r w:rsidRPr="00676D99">
              <w:rPr>
                <w:rFonts w:ascii="David" w:hAnsi="David" w:cs="David" w:hint="cs"/>
                <w:rtl/>
              </w:rPr>
              <w:t>קניין המערה הוא תוצאה של מציאת פיתחו של גן עדן, המאפשר את הכמיהה לחזרה למצב של אדם הראשון, לפני החטא. כך מפורש בזוהר חדש: "</w:t>
            </w:r>
            <w:r w:rsidRPr="00676D99">
              <w:rPr>
                <w:rFonts w:ascii="David" w:hAnsi="David" w:cs="David"/>
                <w:rtl/>
              </w:rPr>
              <w:t xml:space="preserve">רַבִּי </w:t>
            </w:r>
            <w:proofErr w:type="spellStart"/>
            <w:r w:rsidRPr="00676D99">
              <w:rPr>
                <w:rFonts w:ascii="David" w:hAnsi="David" w:cs="David"/>
                <w:rtl/>
              </w:rPr>
              <w:t>קִיסְמָא</w:t>
            </w:r>
            <w:proofErr w:type="spellEnd"/>
            <w:r w:rsidRPr="00676D99">
              <w:rPr>
                <w:rFonts w:ascii="David" w:hAnsi="David" w:cs="David"/>
                <w:rtl/>
              </w:rPr>
              <w:t xml:space="preserve"> אָמַר, מְעָרַת הַמַּכְפֵּלָה, סָמוּךְ לְפֶתַח גַּן עֵדֶן. בְּשָׁעָה שֶׁמֵּתָה חַוָּה, בָּא אָדָם לְקָבְרָהּ שָׁם. וְשָׁם הֵרִיחַ, מֵרֵיחוֹת גַּן עֵדֶן, בְּאוֹתוֹ הָרֵיחַ שֶׁהָיָה שָׁם</w:t>
            </w:r>
            <w:r w:rsidRPr="00676D99">
              <w:rPr>
                <w:rFonts w:ascii="David" w:hAnsi="David" w:cs="David" w:hint="cs"/>
                <w:rtl/>
              </w:rPr>
              <w:t>"</w:t>
            </w:r>
            <w:r w:rsidRPr="00676D99">
              <w:rPr>
                <w:rFonts w:ascii="David" w:hAnsi="David" w:cs="David"/>
                <w:rtl/>
              </w:rPr>
              <w:t xml:space="preserve"> </w:t>
            </w:r>
            <w:r w:rsidRPr="00676D99">
              <w:rPr>
                <w:rFonts w:ascii="David" w:hAnsi="David" w:cs="David" w:hint="cs"/>
                <w:rtl/>
              </w:rPr>
              <w:t>(</w:t>
            </w:r>
            <w:r w:rsidRPr="00676D99">
              <w:rPr>
                <w:rFonts w:ascii="David" w:hAnsi="David" w:cs="David"/>
                <w:rtl/>
              </w:rPr>
              <w:t xml:space="preserve">מהדורת הסולם - רות מאמר כשגירש הקב"ה </w:t>
            </w:r>
            <w:proofErr w:type="spellStart"/>
            <w:r w:rsidRPr="00676D99">
              <w:rPr>
                <w:rFonts w:ascii="David" w:hAnsi="David" w:cs="David"/>
                <w:rtl/>
              </w:rPr>
              <w:t>אדה"ר</w:t>
            </w:r>
            <w:proofErr w:type="spellEnd"/>
            <w:r w:rsidRPr="00676D99">
              <w:rPr>
                <w:rFonts w:ascii="David" w:hAnsi="David" w:cs="David"/>
                <w:rtl/>
              </w:rPr>
              <w:t xml:space="preserve"> מגן עדן אות </w:t>
            </w:r>
            <w:proofErr w:type="spellStart"/>
            <w:r w:rsidRPr="00676D99">
              <w:rPr>
                <w:rFonts w:ascii="David" w:hAnsi="David" w:cs="David"/>
                <w:rtl/>
              </w:rPr>
              <w:t>ריד</w:t>
            </w:r>
            <w:proofErr w:type="spellEnd"/>
            <w:r w:rsidRPr="00676D99">
              <w:rPr>
                <w:rFonts w:ascii="David" w:hAnsi="David" w:cs="David" w:hint="cs"/>
                <w:rtl/>
              </w:rPr>
              <w:t>). אם כך, נשאלת השאלה, מדוע לא נבחרה חברון לשמש כבירתה של מדינת היהודים לדורי דורות? התשובה הפשוטה היא שירושלים היא זו שנבחרה, כיוון שהיא המחברת בין שבט יהודה לבין שבטי יוסף, היא המחברת בין רחל ולאה "</w:t>
            </w:r>
            <w:r w:rsidRPr="00676D99">
              <w:rPr>
                <w:rFonts w:ascii="David" w:hAnsi="David" w:cs="David"/>
                <w:rtl/>
              </w:rPr>
              <w:t xml:space="preserve">אֲשֶׁר בָּנוּ </w:t>
            </w:r>
            <w:proofErr w:type="spellStart"/>
            <w:r w:rsidRPr="00676D99">
              <w:rPr>
                <w:rFonts w:ascii="David" w:hAnsi="David" w:cs="David"/>
                <w:rtl/>
              </w:rPr>
              <w:t>שְׁתֵּיהֶם</w:t>
            </w:r>
            <w:proofErr w:type="spellEnd"/>
            <w:r w:rsidRPr="00676D99">
              <w:rPr>
                <w:rFonts w:ascii="David" w:hAnsi="David" w:cs="David"/>
                <w:rtl/>
              </w:rPr>
              <w:t xml:space="preserve"> אֶת בֵּית יִשְׂרָאֵל</w:t>
            </w:r>
            <w:r w:rsidRPr="00676D99">
              <w:rPr>
                <w:rFonts w:ascii="David" w:hAnsi="David" w:cs="David" w:hint="cs"/>
                <w:rtl/>
              </w:rPr>
              <w:t>"</w:t>
            </w:r>
            <w:r w:rsidRPr="00676D99">
              <w:rPr>
                <w:rFonts w:ascii="David" w:hAnsi="David" w:cs="David"/>
                <w:rtl/>
              </w:rPr>
              <w:t xml:space="preserve"> </w:t>
            </w:r>
            <w:r w:rsidRPr="00676D99">
              <w:rPr>
                <w:rFonts w:ascii="David" w:hAnsi="David" w:cs="David" w:hint="cs"/>
                <w:rtl/>
              </w:rPr>
              <w:t>(</w:t>
            </w:r>
            <w:r w:rsidRPr="00676D99">
              <w:rPr>
                <w:rFonts w:ascii="David" w:hAnsi="David" w:cs="David"/>
                <w:rtl/>
              </w:rPr>
              <w:t>רות ד</w:t>
            </w:r>
            <w:r w:rsidRPr="00676D99">
              <w:rPr>
                <w:rFonts w:ascii="David" w:hAnsi="David" w:cs="David" w:hint="cs"/>
                <w:rtl/>
              </w:rPr>
              <w:t>,</w:t>
            </w:r>
            <w:r w:rsidRPr="00676D99">
              <w:rPr>
                <w:rFonts w:ascii="David" w:hAnsi="David" w:cs="David"/>
                <w:rtl/>
              </w:rPr>
              <w:t xml:space="preserve"> יא</w:t>
            </w:r>
            <w:r w:rsidRPr="00676D99">
              <w:rPr>
                <w:rFonts w:ascii="David" w:hAnsi="David" w:cs="David" w:hint="cs"/>
                <w:rtl/>
              </w:rPr>
              <w:t>), שנרמז גם בפסוק הבא "</w:t>
            </w:r>
            <w:r w:rsidRPr="00676D99">
              <w:rPr>
                <w:rFonts w:ascii="David" w:hAnsi="David" w:cs="David"/>
                <w:rtl/>
              </w:rPr>
              <w:t>יְרוּשָׁלִַם הַבְּנוּיָה כְּעִיר שֶׁחֻבְּרָה לָּהּ יַחְדָּו</w:t>
            </w:r>
            <w:r w:rsidRPr="00676D99">
              <w:rPr>
                <w:rFonts w:ascii="David" w:hAnsi="David" w:cs="David" w:hint="cs"/>
                <w:rtl/>
              </w:rPr>
              <w:t>"</w:t>
            </w:r>
            <w:r w:rsidRPr="00676D99">
              <w:rPr>
                <w:rFonts w:ascii="David" w:hAnsi="David" w:cs="David"/>
                <w:rtl/>
              </w:rPr>
              <w:t xml:space="preserve"> </w:t>
            </w:r>
            <w:r w:rsidRPr="00676D99">
              <w:rPr>
                <w:rFonts w:ascii="David" w:hAnsi="David" w:cs="David" w:hint="cs"/>
                <w:rtl/>
              </w:rPr>
              <w:t>(</w:t>
            </w:r>
            <w:r w:rsidRPr="00676D99">
              <w:rPr>
                <w:rFonts w:ascii="David" w:hAnsi="David" w:cs="David"/>
                <w:rtl/>
              </w:rPr>
              <w:t xml:space="preserve">תהלים </w:t>
            </w:r>
            <w:proofErr w:type="spellStart"/>
            <w:r w:rsidRPr="00676D99">
              <w:rPr>
                <w:rFonts w:ascii="David" w:hAnsi="David" w:cs="David"/>
                <w:rtl/>
              </w:rPr>
              <w:t>קכב</w:t>
            </w:r>
            <w:proofErr w:type="spellEnd"/>
            <w:r w:rsidRPr="00676D99">
              <w:rPr>
                <w:rFonts w:ascii="David" w:hAnsi="David" w:cs="David" w:hint="cs"/>
                <w:rtl/>
              </w:rPr>
              <w:t>,</w:t>
            </w:r>
            <w:r w:rsidRPr="00676D99">
              <w:rPr>
                <w:rFonts w:ascii="David" w:hAnsi="David" w:cs="David"/>
                <w:rtl/>
              </w:rPr>
              <w:t xml:space="preserve"> ג</w:t>
            </w:r>
            <w:r w:rsidRPr="00676D99">
              <w:rPr>
                <w:rFonts w:ascii="David" w:hAnsi="David" w:cs="David" w:hint="cs"/>
                <w:rtl/>
              </w:rPr>
              <w:t xml:space="preserve">). </w:t>
            </w:r>
          </w:p>
          <w:p w14:paraId="0D02F08A" w14:textId="77777777" w:rsidR="00676D99" w:rsidRPr="00676D99" w:rsidRDefault="00676D99" w:rsidP="00676D99">
            <w:pPr>
              <w:ind w:left="28"/>
              <w:rPr>
                <w:rFonts w:ascii="David" w:hAnsi="David" w:cs="David"/>
                <w:rtl/>
              </w:rPr>
            </w:pPr>
            <w:r w:rsidRPr="00676D99">
              <w:rPr>
                <w:rFonts w:ascii="David" w:hAnsi="David" w:cs="David" w:hint="cs"/>
                <w:rtl/>
              </w:rPr>
              <w:t>כדי לחדד יותר את השאלה, נשתף באירוע שהתרחש בבית דינו של מרן הראי"ה לפני למעלה ממאה שנים. אנשי ירושלים הגישו תביעה בבית הדין של הרב הראשי, הראי"ה קוק זצ"ל, כנגד קהילת חברון שפתחה במסע גיוס כספים עצמאי, ולא כחלק מהגיוס של ה"ועד הכללי", שאסף בעבור כל הישוב היהודי בארץ ישראל. הרב זצ"ל ביקש מהנתבעים להסביר את פשר המעשה. אנשי חברון טענו כמה טענות שנפרטן בקיצור: א. חברון היא הפתח לקניית כל ארץ ישראל שהרי הארץ מקופלת תחתיה (רמוז בשם מכפלה, הכ"ף מתחלפת בקו"ף). ב. האבות גרו בחברון ולא בירושלים ולכן לקהילת חברון יש ותק של 4000 שנה לעומת הותק הקטן בהרבה שיש לקהילת ירושלים, רק 3000 שנה. ג. הפתח של גן עדן הוא בחברון כמבואר בזוהר לעיל, והפתח של גיהינום הוא בירושלים, כמבואר במסכת סוכה "</w:t>
            </w:r>
            <w:r w:rsidRPr="00676D99">
              <w:rPr>
                <w:rFonts w:ascii="David" w:hAnsi="David" w:cs="David"/>
                <w:rtl/>
              </w:rPr>
              <w:t xml:space="preserve">תנא רבה בר מריון בדבי רבי יוחנן בן זכאי: שתי </w:t>
            </w:r>
            <w:proofErr w:type="spellStart"/>
            <w:r w:rsidRPr="00676D99">
              <w:rPr>
                <w:rFonts w:ascii="David" w:hAnsi="David" w:cs="David"/>
                <w:rtl/>
              </w:rPr>
              <w:t>תמרות</w:t>
            </w:r>
            <w:proofErr w:type="spellEnd"/>
            <w:r w:rsidRPr="00676D99">
              <w:rPr>
                <w:rFonts w:ascii="David" w:hAnsi="David" w:cs="David"/>
                <w:rtl/>
              </w:rPr>
              <w:t xml:space="preserve"> יש </w:t>
            </w:r>
            <w:proofErr w:type="spellStart"/>
            <w:r w:rsidRPr="00676D99">
              <w:rPr>
                <w:rFonts w:ascii="David" w:hAnsi="David" w:cs="David"/>
                <w:rtl/>
              </w:rPr>
              <w:t>בגי</w:t>
            </w:r>
            <w:proofErr w:type="spellEnd"/>
            <w:r w:rsidRPr="00676D99">
              <w:rPr>
                <w:rFonts w:ascii="David" w:hAnsi="David" w:cs="David"/>
                <w:rtl/>
              </w:rPr>
              <w:t xml:space="preserve"> בן </w:t>
            </w:r>
            <w:proofErr w:type="spellStart"/>
            <w:r w:rsidRPr="00676D99">
              <w:rPr>
                <w:rFonts w:ascii="David" w:hAnsi="David" w:cs="David"/>
                <w:rtl/>
              </w:rPr>
              <w:t>הנום</w:t>
            </w:r>
            <w:proofErr w:type="spellEnd"/>
            <w:r w:rsidRPr="00676D99">
              <w:rPr>
                <w:rFonts w:ascii="David" w:hAnsi="David" w:cs="David"/>
                <w:rtl/>
              </w:rPr>
              <w:t xml:space="preserve"> ועולה עשן </w:t>
            </w:r>
            <w:proofErr w:type="spellStart"/>
            <w:r w:rsidRPr="00676D99">
              <w:rPr>
                <w:rFonts w:ascii="David" w:hAnsi="David" w:cs="David"/>
                <w:rtl/>
              </w:rPr>
              <w:t>מביניהן</w:t>
            </w:r>
            <w:proofErr w:type="spellEnd"/>
            <w:r w:rsidRPr="00676D99">
              <w:rPr>
                <w:rFonts w:ascii="David" w:hAnsi="David" w:cs="David" w:hint="cs"/>
                <w:rtl/>
              </w:rPr>
              <w:t>...</w:t>
            </w:r>
            <w:r w:rsidRPr="00676D99">
              <w:rPr>
                <w:rFonts w:ascii="David" w:hAnsi="David" w:cs="David"/>
                <w:rtl/>
              </w:rPr>
              <w:t xml:space="preserve">, וזו היא פתחה של </w:t>
            </w:r>
            <w:proofErr w:type="spellStart"/>
            <w:r w:rsidRPr="00676D99">
              <w:rPr>
                <w:rFonts w:ascii="David" w:hAnsi="David" w:cs="David"/>
                <w:rtl/>
              </w:rPr>
              <w:t>גיהנם</w:t>
            </w:r>
            <w:proofErr w:type="spellEnd"/>
            <w:r w:rsidRPr="00676D99">
              <w:rPr>
                <w:rFonts w:ascii="David" w:hAnsi="David" w:cs="David"/>
                <w:rtl/>
              </w:rPr>
              <w:t>!</w:t>
            </w:r>
            <w:r w:rsidRPr="00676D99">
              <w:rPr>
                <w:rFonts w:ascii="David" w:hAnsi="David" w:cs="David" w:hint="cs"/>
                <w:rtl/>
              </w:rPr>
              <w:t>" (</w:t>
            </w:r>
            <w:r w:rsidRPr="00676D99">
              <w:rPr>
                <w:rFonts w:ascii="David" w:hAnsi="David" w:cs="David"/>
                <w:rtl/>
              </w:rPr>
              <w:t xml:space="preserve">עירובין דף </w:t>
            </w:r>
            <w:proofErr w:type="spellStart"/>
            <w:r w:rsidRPr="00676D99">
              <w:rPr>
                <w:rFonts w:ascii="David" w:hAnsi="David" w:cs="David"/>
                <w:rtl/>
              </w:rPr>
              <w:t>יט</w:t>
            </w:r>
            <w:proofErr w:type="spellEnd"/>
            <w:r w:rsidRPr="00676D99">
              <w:rPr>
                <w:rFonts w:ascii="David" w:hAnsi="David" w:cs="David"/>
                <w:rtl/>
              </w:rPr>
              <w:t xml:space="preserve"> ע</w:t>
            </w:r>
            <w:r w:rsidRPr="00676D99">
              <w:rPr>
                <w:rFonts w:ascii="David" w:hAnsi="David" w:cs="David" w:hint="cs"/>
                <w:rtl/>
              </w:rPr>
              <w:t>"</w:t>
            </w:r>
            <w:r w:rsidRPr="00676D99">
              <w:rPr>
                <w:rFonts w:ascii="David" w:hAnsi="David" w:cs="David"/>
                <w:rtl/>
              </w:rPr>
              <w:t>א</w:t>
            </w:r>
            <w:r w:rsidRPr="00676D99">
              <w:rPr>
                <w:rFonts w:ascii="David" w:hAnsi="David" w:cs="David" w:hint="cs"/>
                <w:rtl/>
              </w:rPr>
              <w:t xml:space="preserve">). אם כך, ברור שיש עדיפות לחברון על ירושלים, ואנשי חברון אינם כפופים ל"ועד הכללי" היושב בירושלים. </w:t>
            </w:r>
          </w:p>
          <w:p w14:paraId="44D28372" w14:textId="77777777" w:rsidR="00676D99" w:rsidRPr="00676D99" w:rsidRDefault="00676D99" w:rsidP="00676D99">
            <w:pPr>
              <w:ind w:left="28"/>
              <w:rPr>
                <w:rFonts w:ascii="David" w:hAnsi="David" w:cs="David"/>
                <w:rtl/>
              </w:rPr>
            </w:pPr>
            <w:r w:rsidRPr="00676D99">
              <w:rPr>
                <w:rFonts w:ascii="David" w:hAnsi="David" w:cs="David" w:hint="cs"/>
                <w:rtl/>
              </w:rPr>
              <w:t>הראי"ה דחה את טענתם באמצעות המקור הבא בזוהר: "</w:t>
            </w:r>
            <w:r w:rsidRPr="00676D99">
              <w:rPr>
                <w:rFonts w:ascii="David" w:hAnsi="David" w:cs="David"/>
                <w:rtl/>
              </w:rPr>
              <w:t>תָּא חֲזֵי</w:t>
            </w:r>
            <w:r w:rsidRPr="00676D99">
              <w:rPr>
                <w:rFonts w:ascii="David" w:hAnsi="David" w:cs="David" w:hint="cs"/>
                <w:rtl/>
              </w:rPr>
              <w:t xml:space="preserve"> (בא וראה)</w:t>
            </w:r>
            <w:r w:rsidRPr="00676D99">
              <w:rPr>
                <w:rFonts w:ascii="David" w:hAnsi="David" w:cs="David"/>
                <w:rtl/>
              </w:rPr>
              <w:t xml:space="preserve">, יְרוּשָׁלִַם כָּל אַרְעָא </w:t>
            </w:r>
            <w:proofErr w:type="spellStart"/>
            <w:r w:rsidRPr="00676D99">
              <w:rPr>
                <w:rFonts w:ascii="David" w:hAnsi="David" w:cs="David"/>
                <w:rtl/>
              </w:rPr>
              <w:t>דְיִשְׂרָאֵל</w:t>
            </w:r>
            <w:proofErr w:type="spellEnd"/>
            <w:r w:rsidRPr="00676D99">
              <w:rPr>
                <w:rFonts w:ascii="David" w:hAnsi="David" w:cs="David"/>
                <w:rtl/>
              </w:rPr>
              <w:t xml:space="preserve"> </w:t>
            </w:r>
            <w:proofErr w:type="spellStart"/>
            <w:r w:rsidRPr="00676D99">
              <w:rPr>
                <w:rFonts w:ascii="David" w:hAnsi="David" w:cs="David"/>
                <w:rtl/>
              </w:rPr>
              <w:t>אִתְכַּפַּל</w:t>
            </w:r>
            <w:proofErr w:type="spellEnd"/>
            <w:r w:rsidRPr="00676D99">
              <w:rPr>
                <w:rFonts w:ascii="David" w:hAnsi="David" w:cs="David"/>
                <w:rtl/>
              </w:rPr>
              <w:t xml:space="preserve"> </w:t>
            </w:r>
            <w:proofErr w:type="spellStart"/>
            <w:r w:rsidRPr="00676D99">
              <w:rPr>
                <w:rFonts w:ascii="David" w:hAnsi="David" w:cs="David"/>
                <w:rtl/>
              </w:rPr>
              <w:t>תְּחוֹתָה</w:t>
            </w:r>
            <w:proofErr w:type="spellEnd"/>
            <w:r w:rsidRPr="00676D99">
              <w:rPr>
                <w:rFonts w:ascii="David" w:hAnsi="David" w:cs="David"/>
                <w:rtl/>
              </w:rPr>
              <w:t>ּ</w:t>
            </w:r>
            <w:r w:rsidRPr="00676D99">
              <w:rPr>
                <w:rFonts w:ascii="David" w:hAnsi="David" w:cs="David" w:hint="cs"/>
                <w:rtl/>
              </w:rPr>
              <w:t xml:space="preserve"> (</w:t>
            </w:r>
            <w:r w:rsidRPr="00676D99">
              <w:rPr>
                <w:rFonts w:ascii="David" w:hAnsi="David" w:cs="David"/>
                <w:rtl/>
              </w:rPr>
              <w:t>כל ארץ ישראל מקופלת תחתיה</w:t>
            </w:r>
            <w:r w:rsidRPr="00676D99">
              <w:rPr>
                <w:rFonts w:ascii="David" w:hAnsi="David" w:cs="David" w:hint="cs"/>
                <w:rtl/>
              </w:rPr>
              <w:t>)</w:t>
            </w:r>
            <w:r w:rsidRPr="00676D99">
              <w:rPr>
                <w:rFonts w:ascii="David" w:hAnsi="David" w:cs="David"/>
                <w:rtl/>
              </w:rPr>
              <w:t xml:space="preserve">, </w:t>
            </w:r>
            <w:proofErr w:type="spellStart"/>
            <w:r w:rsidRPr="00676D99">
              <w:rPr>
                <w:rFonts w:ascii="David" w:hAnsi="David" w:cs="David"/>
                <w:rtl/>
              </w:rPr>
              <w:t>וְאִיהִי</w:t>
            </w:r>
            <w:proofErr w:type="spellEnd"/>
            <w:r w:rsidRPr="00676D99">
              <w:rPr>
                <w:rFonts w:ascii="David" w:hAnsi="David" w:cs="David"/>
                <w:rtl/>
              </w:rPr>
              <w:t xml:space="preserve"> קָיְימָא לְעֵילָא </w:t>
            </w:r>
            <w:proofErr w:type="spellStart"/>
            <w:r w:rsidRPr="00676D99">
              <w:rPr>
                <w:rFonts w:ascii="David" w:hAnsi="David" w:cs="David"/>
                <w:rtl/>
              </w:rPr>
              <w:t>וְתַתָּא</w:t>
            </w:r>
            <w:proofErr w:type="spellEnd"/>
            <w:r w:rsidRPr="00676D99">
              <w:rPr>
                <w:rFonts w:ascii="David" w:hAnsi="David" w:cs="David" w:hint="cs"/>
                <w:rtl/>
              </w:rPr>
              <w:t xml:space="preserve"> (ויש ירושלים של מעלה וירושלים של מטה)</w:t>
            </w:r>
            <w:r w:rsidRPr="00676D99">
              <w:rPr>
                <w:rFonts w:ascii="David" w:hAnsi="David" w:cs="David"/>
                <w:rtl/>
              </w:rPr>
              <w:t xml:space="preserve">, </w:t>
            </w:r>
            <w:proofErr w:type="spellStart"/>
            <w:r w:rsidRPr="00676D99">
              <w:rPr>
                <w:rFonts w:ascii="David" w:hAnsi="David" w:cs="David"/>
                <w:rtl/>
              </w:rPr>
              <w:t>כְּגַוְונָא</w:t>
            </w:r>
            <w:proofErr w:type="spellEnd"/>
            <w:r w:rsidRPr="00676D99">
              <w:rPr>
                <w:rFonts w:ascii="David" w:hAnsi="David" w:cs="David"/>
                <w:rtl/>
              </w:rPr>
              <w:t xml:space="preserve"> דָא, יְרוּשָׁלִַם לְעֵילָא יְרוּשָׁלִַם </w:t>
            </w:r>
            <w:proofErr w:type="spellStart"/>
            <w:r w:rsidRPr="00676D99">
              <w:rPr>
                <w:rFonts w:ascii="David" w:hAnsi="David" w:cs="David"/>
                <w:rtl/>
              </w:rPr>
              <w:t>לְתַתָּא</w:t>
            </w:r>
            <w:proofErr w:type="spellEnd"/>
            <w:r w:rsidRPr="00676D99">
              <w:rPr>
                <w:rFonts w:ascii="David" w:hAnsi="David" w:cs="David"/>
                <w:rtl/>
              </w:rPr>
              <w:t xml:space="preserve">, </w:t>
            </w:r>
            <w:proofErr w:type="spellStart"/>
            <w:r w:rsidRPr="00676D99">
              <w:rPr>
                <w:rFonts w:ascii="David" w:hAnsi="David" w:cs="David"/>
                <w:rtl/>
              </w:rPr>
              <w:t>אֲחִידָא</w:t>
            </w:r>
            <w:proofErr w:type="spellEnd"/>
            <w:r w:rsidRPr="00676D99">
              <w:rPr>
                <w:rFonts w:ascii="David" w:hAnsi="David" w:cs="David"/>
                <w:rtl/>
              </w:rPr>
              <w:t xml:space="preserve"> לְעֵילָא, </w:t>
            </w:r>
            <w:proofErr w:type="spellStart"/>
            <w:r w:rsidRPr="00676D99">
              <w:rPr>
                <w:rFonts w:ascii="David" w:hAnsi="David" w:cs="David"/>
                <w:rtl/>
              </w:rPr>
              <w:t>וְאַחִידָא</w:t>
            </w:r>
            <w:proofErr w:type="spellEnd"/>
            <w:r w:rsidRPr="00676D99">
              <w:rPr>
                <w:rFonts w:ascii="David" w:hAnsi="David" w:cs="David"/>
                <w:rtl/>
              </w:rPr>
              <w:t xml:space="preserve"> </w:t>
            </w:r>
            <w:proofErr w:type="spellStart"/>
            <w:r w:rsidRPr="00676D99">
              <w:rPr>
                <w:rFonts w:ascii="David" w:hAnsi="David" w:cs="David"/>
                <w:rtl/>
              </w:rPr>
              <w:t>לְתַתָּא</w:t>
            </w:r>
            <w:proofErr w:type="spellEnd"/>
            <w:r w:rsidRPr="00676D99">
              <w:rPr>
                <w:rFonts w:ascii="David" w:hAnsi="David" w:cs="David"/>
                <w:rtl/>
              </w:rPr>
              <w:t xml:space="preserve">, יְרוּשָׁלִַם לְעֵילָא </w:t>
            </w:r>
            <w:proofErr w:type="spellStart"/>
            <w:r w:rsidRPr="00676D99">
              <w:rPr>
                <w:rFonts w:ascii="David" w:hAnsi="David" w:cs="David"/>
                <w:rtl/>
              </w:rPr>
              <w:t>אֲחִידַת</w:t>
            </w:r>
            <w:proofErr w:type="spellEnd"/>
            <w:r w:rsidRPr="00676D99">
              <w:rPr>
                <w:rFonts w:ascii="David" w:hAnsi="David" w:cs="David"/>
                <w:rtl/>
              </w:rPr>
              <w:t xml:space="preserve"> </w:t>
            </w:r>
            <w:proofErr w:type="spellStart"/>
            <w:r w:rsidRPr="00676D99">
              <w:rPr>
                <w:rFonts w:ascii="David" w:hAnsi="David" w:cs="David"/>
                <w:rtl/>
              </w:rPr>
              <w:t>בִּתְרֵין</w:t>
            </w:r>
            <w:proofErr w:type="spellEnd"/>
            <w:r w:rsidRPr="00676D99">
              <w:rPr>
                <w:rFonts w:ascii="David" w:hAnsi="David" w:cs="David"/>
                <w:rtl/>
              </w:rPr>
              <w:t xml:space="preserve"> סִטְרִין</w:t>
            </w:r>
            <w:r w:rsidRPr="00676D99">
              <w:rPr>
                <w:rFonts w:ascii="David" w:hAnsi="David" w:cs="David" w:hint="cs"/>
                <w:rtl/>
              </w:rPr>
              <w:t xml:space="preserve"> (ירושלים של מעלה יש לה שתי בחינות של אחדות)</w:t>
            </w:r>
            <w:r w:rsidRPr="00676D99">
              <w:rPr>
                <w:rFonts w:ascii="David" w:hAnsi="David" w:cs="David"/>
                <w:rtl/>
              </w:rPr>
              <w:t xml:space="preserve">, לְעֵילָא </w:t>
            </w:r>
            <w:proofErr w:type="spellStart"/>
            <w:r w:rsidRPr="00676D99">
              <w:rPr>
                <w:rFonts w:ascii="David" w:hAnsi="David" w:cs="David"/>
                <w:rtl/>
              </w:rPr>
              <w:t>וְתַתָּא</w:t>
            </w:r>
            <w:proofErr w:type="spellEnd"/>
            <w:r w:rsidRPr="00676D99">
              <w:rPr>
                <w:rFonts w:ascii="David" w:hAnsi="David" w:cs="David"/>
                <w:rtl/>
              </w:rPr>
              <w:t xml:space="preserve">, וּבְגִין כָּךְ, </w:t>
            </w:r>
            <w:proofErr w:type="spellStart"/>
            <w:r w:rsidRPr="00676D99">
              <w:rPr>
                <w:rFonts w:ascii="David" w:hAnsi="David" w:cs="David"/>
                <w:rtl/>
              </w:rPr>
              <w:t>כָּפֶלְתָּא</w:t>
            </w:r>
            <w:proofErr w:type="spellEnd"/>
            <w:r w:rsidRPr="00676D99">
              <w:rPr>
                <w:rFonts w:ascii="David" w:hAnsi="David" w:cs="David"/>
                <w:rtl/>
              </w:rPr>
              <w:t xml:space="preserve"> הִיא</w:t>
            </w:r>
            <w:r w:rsidRPr="00676D99">
              <w:rPr>
                <w:rFonts w:ascii="David" w:hAnsi="David" w:cs="David" w:hint="cs"/>
                <w:rtl/>
              </w:rPr>
              <w:t>"</w:t>
            </w:r>
            <w:r w:rsidRPr="00676D99">
              <w:rPr>
                <w:rFonts w:ascii="David" w:hAnsi="David" w:cs="David"/>
                <w:rtl/>
              </w:rPr>
              <w:t xml:space="preserve"> </w:t>
            </w:r>
            <w:r w:rsidRPr="00676D99">
              <w:rPr>
                <w:rFonts w:ascii="David" w:hAnsi="David" w:cs="David" w:hint="cs"/>
                <w:rtl/>
              </w:rPr>
              <w:t>(</w:t>
            </w:r>
            <w:r w:rsidRPr="00676D99">
              <w:rPr>
                <w:rFonts w:ascii="David" w:hAnsi="David" w:cs="David"/>
                <w:rtl/>
              </w:rPr>
              <w:t xml:space="preserve">מהדורת הסולם - בראשית פרשת חיי שרה מאמר מערת המכפלה אות </w:t>
            </w:r>
            <w:proofErr w:type="spellStart"/>
            <w:r w:rsidRPr="00676D99">
              <w:rPr>
                <w:rFonts w:ascii="David" w:hAnsi="David" w:cs="David"/>
                <w:rtl/>
              </w:rPr>
              <w:t>קיג</w:t>
            </w:r>
            <w:proofErr w:type="spellEnd"/>
            <w:r w:rsidRPr="00676D99">
              <w:rPr>
                <w:rFonts w:ascii="David" w:hAnsi="David" w:cs="David" w:hint="cs"/>
                <w:rtl/>
              </w:rPr>
              <w:t xml:space="preserve">). </w:t>
            </w:r>
          </w:p>
          <w:p w14:paraId="5B0997C9" w14:textId="77777777" w:rsidR="00676D99" w:rsidRPr="00676D99" w:rsidRDefault="00676D99" w:rsidP="00676D99">
            <w:pPr>
              <w:ind w:left="28"/>
              <w:rPr>
                <w:rFonts w:ascii="David" w:hAnsi="David" w:cs="David"/>
                <w:rtl/>
              </w:rPr>
            </w:pPr>
            <w:r w:rsidRPr="00676D99">
              <w:rPr>
                <w:rFonts w:ascii="David" w:hAnsi="David" w:cs="David" w:hint="cs"/>
                <w:rtl/>
              </w:rPr>
              <w:t>כדי שהדברים יהיו ברורים, נביא את דברי הרב אשלג זצ"ל, המבארים את הדברים (שם) בתוספת ביאור בסוגריים מרובעים "</w:t>
            </w:r>
            <w:r w:rsidRPr="00676D99">
              <w:rPr>
                <w:rFonts w:ascii="David" w:hAnsi="David" w:cs="David"/>
                <w:rtl/>
              </w:rPr>
              <w:t xml:space="preserve">תא חזי ירושלם </w:t>
            </w:r>
            <w:proofErr w:type="spellStart"/>
            <w:r w:rsidRPr="00676D99">
              <w:rPr>
                <w:rFonts w:ascii="David" w:hAnsi="David" w:cs="David"/>
                <w:rtl/>
              </w:rPr>
              <w:t>וכו</w:t>
            </w:r>
            <w:proofErr w:type="spellEnd"/>
            <w:r w:rsidRPr="00676D99">
              <w:rPr>
                <w:rFonts w:ascii="David" w:hAnsi="David" w:cs="David"/>
                <w:rtl/>
              </w:rPr>
              <w:t>': בוא וראה, ירושלים, כל ארץ ישראל מקופלת תחתיה, שה</w:t>
            </w:r>
            <w:r w:rsidRPr="00676D99">
              <w:rPr>
                <w:rFonts w:ascii="David" w:hAnsi="David" w:cs="David" w:hint="cs"/>
                <w:rtl/>
              </w:rPr>
              <w:t xml:space="preserve">יא </w:t>
            </w:r>
            <w:r w:rsidRPr="00676D99">
              <w:rPr>
                <w:rFonts w:ascii="David" w:hAnsi="David" w:cs="David"/>
                <w:rtl/>
              </w:rPr>
              <w:t>ס</w:t>
            </w:r>
            <w:r w:rsidRPr="00676D99">
              <w:rPr>
                <w:rFonts w:ascii="David" w:hAnsi="David" w:cs="David" w:hint="cs"/>
                <w:rtl/>
              </w:rPr>
              <w:t>וד</w:t>
            </w:r>
            <w:r w:rsidRPr="00676D99">
              <w:rPr>
                <w:rFonts w:ascii="David" w:hAnsi="David" w:cs="David"/>
                <w:rtl/>
              </w:rPr>
              <w:t xml:space="preserve"> המלכות</w:t>
            </w:r>
            <w:r w:rsidRPr="00676D99">
              <w:rPr>
                <w:rFonts w:ascii="David" w:hAnsi="David" w:cs="David" w:hint="cs"/>
                <w:rtl/>
              </w:rPr>
              <w:t xml:space="preserve"> [עירו של דוד]</w:t>
            </w:r>
            <w:r w:rsidRPr="00676D99">
              <w:rPr>
                <w:rFonts w:ascii="David" w:hAnsi="David" w:cs="David"/>
                <w:rtl/>
              </w:rPr>
              <w:t>, והיא נמצאת למעלה ולמטה</w:t>
            </w:r>
            <w:r w:rsidRPr="00676D99">
              <w:rPr>
                <w:rFonts w:ascii="David" w:hAnsi="David" w:cs="David" w:hint="cs"/>
                <w:rtl/>
              </w:rPr>
              <w:t xml:space="preserve"> [כעיר שחוברה לה יחדיו]</w:t>
            </w:r>
            <w:r w:rsidRPr="00676D99">
              <w:rPr>
                <w:rFonts w:ascii="David" w:hAnsi="David" w:cs="David"/>
                <w:rtl/>
              </w:rPr>
              <w:t xml:space="preserve">. באופן זה: יש ירושלים למעלה שהוא בינה, ויש ירושלים למטה שהיא מלכות, כי נאחזת למעלה ונאחזת למטה. ונמצאת ירושלים של מעלה אחוזה בשני צדדים למעלה ולמטה וירושלים של מטה אחוזה בשני צדדים למעלה ולמטה. וע"כ היא כפולה. פירוש. ירושלים של מעלה היא בינה, וירושלים של מטה היא מלכות. ונודע שבסוד שיתוף מדת הרחמים בדין נכללו זה בזה </w:t>
            </w:r>
            <w:r w:rsidRPr="00676D99">
              <w:rPr>
                <w:rFonts w:ascii="David" w:hAnsi="David" w:cs="David" w:hint="cs"/>
                <w:rtl/>
              </w:rPr>
              <w:t xml:space="preserve">...". </w:t>
            </w:r>
          </w:p>
          <w:p w14:paraId="1A10DF07" w14:textId="77777777" w:rsidR="00676D99" w:rsidRPr="00676D99" w:rsidRDefault="00676D99" w:rsidP="00676D99">
            <w:pPr>
              <w:ind w:left="28"/>
              <w:rPr>
                <w:rFonts w:ascii="David" w:hAnsi="David" w:cs="David"/>
                <w:rtl/>
              </w:rPr>
            </w:pPr>
            <w:r w:rsidRPr="00676D99">
              <w:rPr>
                <w:rFonts w:ascii="David" w:hAnsi="David" w:cs="David" w:hint="cs"/>
                <w:rtl/>
              </w:rPr>
              <w:t xml:space="preserve">הסביר הרב זצ"ל כי עם בניין ירושלים, עברה מערת המכפלה לירושלים. וחיבור של חברון (כשמה כן היא) עלה דרגה לחיבור של ירושלים, המחברת ומאחדת את עם ישראל ומחברת ומאחדת בין ירושלים של מטה וירושלים של מעלה, שהיא שקולה כנגד "כנסת ישראל" (ולכן הגימטרייה שלהן שוות). </w:t>
            </w:r>
          </w:p>
          <w:p w14:paraId="1448BD54" w14:textId="77777777" w:rsidR="00676D99" w:rsidRPr="00676D99" w:rsidRDefault="00676D99" w:rsidP="00676D99">
            <w:pPr>
              <w:ind w:left="28"/>
              <w:rPr>
                <w:rFonts w:ascii="David" w:hAnsi="David" w:cs="David"/>
                <w:rtl/>
              </w:rPr>
            </w:pPr>
            <w:r w:rsidRPr="00676D99">
              <w:rPr>
                <w:rFonts w:ascii="David" w:hAnsi="David" w:cs="David" w:hint="cs"/>
                <w:rtl/>
              </w:rPr>
              <w:t xml:space="preserve">חברון לא נפגעה! היא נשארה במעלתה, בנגלה מערת המכפלה היא בחברון, אבל בנסתר היא בירושלים. ארץ ישראל ועם ישראל חד הם. </w:t>
            </w:r>
          </w:p>
          <w:p w14:paraId="4593F251" w14:textId="612048A7" w:rsidR="00676D99" w:rsidRDefault="00676D99" w:rsidP="00676D99">
            <w:pPr>
              <w:ind w:left="28"/>
              <w:rPr>
                <w:rFonts w:ascii="David" w:hAnsi="David" w:cs="David"/>
                <w:rtl/>
              </w:rPr>
            </w:pPr>
            <w:r w:rsidRPr="00676D99">
              <w:rPr>
                <w:rFonts w:ascii="David" w:hAnsi="David" w:cs="David" w:hint="cs"/>
                <w:rtl/>
              </w:rPr>
              <w:t xml:space="preserve">נזכור כי האחריות לבניין ארץ ישראל יושבת על כתפי מנהיגי כל העם שנבחרו על ידו, ולא על כתפי אנשים פרטיים, גם אם אהבתם לארץ ישראל עזה וחזקה מאוד מאוד וד"ל. </w:t>
            </w:r>
          </w:p>
          <w:p w14:paraId="6974B46F" w14:textId="77777777" w:rsidR="00676D99" w:rsidRPr="00676D99" w:rsidRDefault="00676D99" w:rsidP="00676D99">
            <w:pPr>
              <w:spacing w:line="276" w:lineRule="auto"/>
              <w:contextualSpacing/>
              <w:jc w:val="center"/>
              <w:rPr>
                <w:rFonts w:ascii="David" w:hAnsi="David" w:cs="David"/>
                <w:rtl/>
              </w:rPr>
            </w:pPr>
            <w:r w:rsidRPr="00676D99">
              <w:rPr>
                <w:rFonts w:ascii="David" w:hAnsi="David" w:cs="David"/>
                <w:rtl/>
              </w:rPr>
              <w:t>נמשיך ללכת באורו של מורה האורות הראי"ה זצ"ל, הדרך של אהבת חינם.</w:t>
            </w:r>
          </w:p>
          <w:p w14:paraId="0C8DCF92" w14:textId="51C42140" w:rsidR="0063709B" w:rsidRPr="00676D99" w:rsidRDefault="0063709B" w:rsidP="006A2846">
            <w:pPr>
              <w:ind w:left="28"/>
              <w:rPr>
                <w:rFonts w:ascii="David" w:hAnsi="David" w:cs="David"/>
                <w:sz w:val="16"/>
                <w:szCs w:val="16"/>
              </w:rPr>
            </w:pPr>
          </w:p>
          <w:p w14:paraId="141741BE" w14:textId="0A94E70F" w:rsidR="00D8049C" w:rsidRDefault="00D8049C" w:rsidP="00E42C60">
            <w:pPr>
              <w:spacing w:line="360" w:lineRule="auto"/>
              <w:jc w:val="center"/>
              <w:rPr>
                <w:rStyle w:val="Hyperlink"/>
                <w:rFonts w:ascii="David" w:hAnsi="David" w:cs="Davi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 xml:space="preserve">לשיעורי הרב יוסף כרמל </w:t>
              </w:r>
              <w:proofErr w:type="spellStart"/>
              <w:r w:rsidRPr="007B4150">
                <w:rPr>
                  <w:rStyle w:val="Hyperlink"/>
                  <w:rFonts w:ascii="David" w:hAnsi="David" w:cs="David"/>
                  <w:sz w:val="22"/>
                  <w:szCs w:val="22"/>
                  <w:rtl/>
                </w:rPr>
                <w:t>ביוטיוב</w:t>
              </w:r>
              <w:proofErr w:type="spellEnd"/>
            </w:hyperlink>
            <w:r>
              <w:rPr>
                <w:rStyle w:val="Hyperlink"/>
                <w:rFonts w:ascii="David" w:hAnsi="David" w:cs="David" w:hint="cs"/>
                <w:sz w:val="22"/>
                <w:szCs w:val="22"/>
                <w:rtl/>
              </w:rPr>
              <w:t>)</w:t>
            </w:r>
          </w:p>
          <w:p w14:paraId="0D70DFA7" w14:textId="77777777" w:rsidR="00E42C60" w:rsidRPr="00D8049C" w:rsidRDefault="00E42C60" w:rsidP="00E42C60">
            <w:pPr>
              <w:spacing w:line="360" w:lineRule="auto"/>
              <w:jc w:val="center"/>
              <w:rPr>
                <w:rFonts w:ascii="David" w:hAnsi="David" w:cs="David"/>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0"/>
              <w:gridCol w:w="282"/>
              <w:gridCol w:w="139"/>
              <w:gridCol w:w="709"/>
              <w:gridCol w:w="846"/>
              <w:gridCol w:w="148"/>
              <w:gridCol w:w="430"/>
              <w:gridCol w:w="149"/>
              <w:gridCol w:w="130"/>
              <w:gridCol w:w="423"/>
              <w:gridCol w:w="286"/>
              <w:gridCol w:w="713"/>
              <w:gridCol w:w="279"/>
              <w:gridCol w:w="283"/>
              <w:gridCol w:w="1140"/>
              <w:gridCol w:w="275"/>
              <w:gridCol w:w="144"/>
              <w:gridCol w:w="425"/>
              <w:gridCol w:w="716"/>
              <w:gridCol w:w="1267"/>
              <w:gridCol w:w="148"/>
              <w:gridCol w:w="291"/>
            </w:tblGrid>
            <w:tr w:rsidR="0024401E" w:rsidRPr="00A6414A" w14:paraId="2568EBA3" w14:textId="77777777" w:rsidTr="00676D99">
              <w:trPr>
                <w:trHeight w:val="273"/>
              </w:trPr>
              <w:tc>
                <w:tcPr>
                  <w:tcW w:w="3796" w:type="dxa"/>
                  <w:gridSpan w:val="5"/>
                  <w:tcMar>
                    <w:top w:w="0" w:type="dxa"/>
                    <w:left w:w="108" w:type="dxa"/>
                    <w:bottom w:w="0" w:type="dxa"/>
                    <w:right w:w="108" w:type="dxa"/>
                  </w:tcMar>
                  <w:vAlign w:val="center"/>
                </w:tcPr>
                <w:p w14:paraId="3DF52FB6" w14:textId="757EC983" w:rsidR="0024401E" w:rsidRPr="00A6414A" w:rsidRDefault="0047033E" w:rsidP="002D608A">
                  <w:pPr>
                    <w:contextualSpacing/>
                    <w:jc w:val="center"/>
                    <w:rPr>
                      <w:rFonts w:ascii="David" w:eastAsia="Calibri" w:hAnsi="David" w:cs="David"/>
                      <w:color w:val="000000"/>
                      <w:sz w:val="30"/>
                      <w:szCs w:val="30"/>
                      <w:rtl/>
                    </w:rPr>
                  </w:pPr>
                  <w:r w:rsidRPr="0047033E">
                    <w:rPr>
                      <w:rFonts w:ascii="FrankRuehl" w:eastAsia="Calibri" w:hAnsi="FrankRuehl" w:cs="FrankRuehl" w:hint="cs"/>
                      <w:sz w:val="25"/>
                      <w:szCs w:val="25"/>
                      <w:rtl/>
                    </w:rPr>
                    <w:t xml:space="preserve"> </w:t>
                  </w:r>
                  <w:bookmarkStart w:id="3" w:name="_Hlk172809546"/>
                  <w:r w:rsidR="0024401E" w:rsidRPr="00A6414A">
                    <w:rPr>
                      <w:rFonts w:ascii="David" w:eastAsia="Calibri" w:hAnsi="David" w:cs="Guttman Stam" w:hint="cs"/>
                      <w:b/>
                      <w:bCs/>
                      <w:color w:val="0070C0"/>
                      <w:sz w:val="30"/>
                      <w:szCs w:val="30"/>
                      <w:rtl/>
                    </w:rPr>
                    <w:t>ל ע י ל ו י   נ ש מ ת</w:t>
                  </w:r>
                </w:p>
              </w:tc>
              <w:tc>
                <w:tcPr>
                  <w:tcW w:w="2558" w:type="dxa"/>
                  <w:gridSpan w:val="8"/>
                  <w:vAlign w:val="center"/>
                </w:tcPr>
                <w:p w14:paraId="7D82C793" w14:textId="1E5D4203" w:rsidR="0024401E" w:rsidRPr="00A6414A" w:rsidRDefault="0024401E" w:rsidP="002D608A">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D608A">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9" w:type="dxa"/>
                  <w:gridSpan w:val="9"/>
                  <w:vAlign w:val="center"/>
                </w:tcPr>
                <w:p w14:paraId="02342480" w14:textId="67B22375" w:rsidR="0024401E" w:rsidRPr="00A6414A" w:rsidRDefault="0024401E" w:rsidP="002D608A">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676D99">
              <w:trPr>
                <w:trHeight w:val="273"/>
              </w:trPr>
              <w:tc>
                <w:tcPr>
                  <w:tcW w:w="1820" w:type="dxa"/>
                  <w:tcMar>
                    <w:top w:w="0" w:type="dxa"/>
                    <w:left w:w="108" w:type="dxa"/>
                    <w:bottom w:w="0" w:type="dxa"/>
                    <w:right w:w="108" w:type="dxa"/>
                  </w:tcMar>
                  <w:vAlign w:val="center"/>
                </w:tcPr>
                <w:p w14:paraId="45249B57" w14:textId="77777777" w:rsidR="00A6414A" w:rsidRPr="00A6414A" w:rsidRDefault="00A6414A" w:rsidP="002D608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7"/>
                  <w:vAlign w:val="center"/>
                </w:tcPr>
                <w:p w14:paraId="42C295CC" w14:textId="160FD419"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sidR="00A80E2A">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DF99950" w14:textId="154A09AF"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sidR="00A80E2A">
                    <w:rPr>
                      <w:rFonts w:ascii="David" w:eastAsia="Calibri" w:hAnsi="David" w:cs="David" w:hint="cs"/>
                      <w:b/>
                      <w:bCs/>
                      <w:color w:val="000000"/>
                      <w:sz w:val="19"/>
                      <w:szCs w:val="19"/>
                      <w:rtl/>
                    </w:rPr>
                    <w:t xml:space="preserve"> </w:t>
                  </w:r>
                  <w:r w:rsidR="00676D99">
                    <w:rPr>
                      <w:rFonts w:ascii="David" w:eastAsia="Calibri" w:hAnsi="David" w:cs="David" w:hint="cs"/>
                      <w:b/>
                      <w:bCs/>
                      <w:color w:val="000000"/>
                      <w:sz w:val="19"/>
                      <w:szCs w:val="19"/>
                      <w:rtl/>
                    </w:rPr>
                    <w:t>/</w:t>
                  </w:r>
                  <w:r w:rsidR="00A80E2A">
                    <w:rPr>
                      <w:rFonts w:ascii="David" w:eastAsia="Calibri" w:hAnsi="David" w:cs="David" w:hint="cs"/>
                      <w:b/>
                      <w:bCs/>
                      <w:color w:val="000000"/>
                      <w:sz w:val="19"/>
                      <w:szCs w:val="19"/>
                      <w:rtl/>
                    </w:rPr>
                    <w:t xml:space="preserve"> </w:t>
                  </w:r>
                  <w:r w:rsidR="00A80E2A" w:rsidRPr="00A80E2A">
                    <w:rPr>
                      <w:rFonts w:ascii="David" w:eastAsia="Calibri" w:hAnsi="David" w:cs="David" w:hint="cs"/>
                      <w:color w:val="000000"/>
                      <w:sz w:val="19"/>
                      <w:szCs w:val="19"/>
                      <w:rtl/>
                    </w:rPr>
                    <w:t xml:space="preserve">ט' </w:t>
                  </w:r>
                  <w:r w:rsidR="00A80E2A">
                    <w:rPr>
                      <w:rFonts w:ascii="David" w:eastAsia="Calibri" w:hAnsi="David" w:cs="David" w:hint="cs"/>
                      <w:color w:val="000000"/>
                      <w:sz w:val="19"/>
                      <w:szCs w:val="19"/>
                      <w:rtl/>
                    </w:rPr>
                    <w:t>ב</w:t>
                  </w:r>
                  <w:r w:rsidR="00A80E2A" w:rsidRPr="00A80E2A">
                    <w:rPr>
                      <w:rFonts w:ascii="David" w:eastAsia="Calibri" w:hAnsi="David" w:cs="David" w:hint="cs"/>
                      <w:color w:val="000000"/>
                      <w:sz w:val="19"/>
                      <w:szCs w:val="19"/>
                      <w:rtl/>
                    </w:rPr>
                    <w:t>חשוון תשפ"ו</w:t>
                  </w:r>
                </w:p>
              </w:tc>
              <w:tc>
                <w:tcPr>
                  <w:tcW w:w="1552" w:type="dxa"/>
                  <w:gridSpan w:val="4"/>
                  <w:vAlign w:val="center"/>
                </w:tcPr>
                <w:p w14:paraId="2B7B629D" w14:textId="77777777" w:rsidR="00A6414A" w:rsidRPr="00A6414A" w:rsidRDefault="00A6414A" w:rsidP="00676D99">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676D99">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2" w:type="dxa"/>
                  <w:gridSpan w:val="3"/>
                  <w:vAlign w:val="center"/>
                </w:tcPr>
                <w:p w14:paraId="32A385CE"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2AF90589"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2D608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37822EA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676D99">
              <w:trPr>
                <w:trHeight w:val="427"/>
              </w:trPr>
              <w:tc>
                <w:tcPr>
                  <w:tcW w:w="2241" w:type="dxa"/>
                  <w:gridSpan w:val="3"/>
                  <w:tcMar>
                    <w:top w:w="0" w:type="dxa"/>
                    <w:left w:w="108" w:type="dxa"/>
                    <w:bottom w:w="0" w:type="dxa"/>
                    <w:right w:w="108" w:type="dxa"/>
                  </w:tcMar>
                  <w:vAlign w:val="center"/>
                  <w:hideMark/>
                </w:tcPr>
                <w:p w14:paraId="52292184" w14:textId="77777777" w:rsidR="00A6414A" w:rsidRPr="00A6414A" w:rsidRDefault="00A6414A" w:rsidP="002D608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4"/>
                  <w:vAlign w:val="center"/>
                </w:tcPr>
                <w:p w14:paraId="3CE524EA" w14:textId="617A2E70" w:rsidR="00EF7EBB" w:rsidRPr="00A6414A" w:rsidRDefault="00EF7EBB" w:rsidP="00EF7EBB">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EF7EBB">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3" w:type="dxa"/>
                  <w:gridSpan w:val="8"/>
                  <w:vAlign w:val="center"/>
                  <w:hideMark/>
                </w:tcPr>
                <w:p w14:paraId="4407092E" w14:textId="77777777" w:rsidR="00A6414A" w:rsidRPr="00A6414A" w:rsidRDefault="00A6414A" w:rsidP="002D608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2FA7A12D" w14:textId="77777777" w:rsidR="00A6414A" w:rsidRPr="00A6414A" w:rsidRDefault="00A6414A" w:rsidP="002D608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676D99">
              <w:trPr>
                <w:trHeight w:val="431"/>
              </w:trPr>
              <w:tc>
                <w:tcPr>
                  <w:tcW w:w="2102" w:type="dxa"/>
                  <w:gridSpan w:val="2"/>
                  <w:tcMar>
                    <w:top w:w="0" w:type="dxa"/>
                    <w:left w:w="108" w:type="dxa"/>
                    <w:bottom w:w="0" w:type="dxa"/>
                    <w:right w:w="108" w:type="dxa"/>
                  </w:tcMar>
                  <w:vAlign w:val="center"/>
                </w:tcPr>
                <w:p w14:paraId="17458165" w14:textId="58A68483"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5B3ADD8B" w:rsidR="00A6414A" w:rsidRPr="00A6414A" w:rsidRDefault="00EF7EBB" w:rsidP="002D608A">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2" w:type="dxa"/>
                  <w:gridSpan w:val="4"/>
                  <w:vAlign w:val="center"/>
                </w:tcPr>
                <w:p w14:paraId="6C97D536"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2D608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40590190" w14:textId="77777777" w:rsidR="00A6414A" w:rsidRPr="00A6414A" w:rsidRDefault="00A6414A" w:rsidP="002D608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2D608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7" w:type="dxa"/>
                  <w:gridSpan w:val="5"/>
                  <w:tcMar>
                    <w:top w:w="0" w:type="dxa"/>
                    <w:left w:w="108" w:type="dxa"/>
                    <w:bottom w:w="0" w:type="dxa"/>
                    <w:right w:w="108" w:type="dxa"/>
                  </w:tcMar>
                  <w:vAlign w:val="center"/>
                </w:tcPr>
                <w:p w14:paraId="0E593F6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676D99">
              <w:trPr>
                <w:trHeight w:val="453"/>
              </w:trPr>
              <w:tc>
                <w:tcPr>
                  <w:tcW w:w="2950" w:type="dxa"/>
                  <w:gridSpan w:val="4"/>
                  <w:vAlign w:val="center"/>
                  <w:hideMark/>
                </w:tcPr>
                <w:p w14:paraId="2321447A" w14:textId="2CC0C51F" w:rsidR="00A6414A" w:rsidRPr="00A6414A" w:rsidRDefault="00A6414A" w:rsidP="002D608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2D608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15AF5624" w:rsidR="00A6414A" w:rsidRPr="00A6414A" w:rsidRDefault="00A6414A" w:rsidP="002D608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2D608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11BCF745" w14:textId="77777777" w:rsidR="00A6414A" w:rsidRPr="00A6414A" w:rsidRDefault="00A6414A" w:rsidP="002D608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2D608A">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1" w:type="dxa"/>
                  <w:gridSpan w:val="6"/>
                  <w:vAlign w:val="center"/>
                </w:tcPr>
                <w:p w14:paraId="75BDAC98" w14:textId="77777777" w:rsidR="004F0AE5"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676D99">
              <w:trPr>
                <w:trHeight w:val="404"/>
              </w:trPr>
              <w:tc>
                <w:tcPr>
                  <w:tcW w:w="2102" w:type="dxa"/>
                  <w:gridSpan w:val="2"/>
                  <w:vAlign w:val="center"/>
                </w:tcPr>
                <w:p w14:paraId="6AC13226" w14:textId="4B604FD4" w:rsidR="00A6414A" w:rsidRPr="00A6414A" w:rsidRDefault="00A6414A" w:rsidP="002D608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2D608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1" w:type="dxa"/>
                  <w:gridSpan w:val="7"/>
                  <w:vAlign w:val="center"/>
                </w:tcPr>
                <w:p w14:paraId="754633C8" w14:textId="203C951C" w:rsidR="00A6414A" w:rsidRPr="00A6414A" w:rsidRDefault="00A6414A" w:rsidP="002D608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3E05667D" w:rsidR="00A6414A" w:rsidRPr="00A6414A" w:rsidRDefault="00A6414A" w:rsidP="002D608A">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2D608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2D608A">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4" w:type="dxa"/>
                  <w:gridSpan w:val="4"/>
                  <w:vAlign w:val="center"/>
                </w:tcPr>
                <w:p w14:paraId="69B829BF" w14:textId="77777777" w:rsidR="0052605C" w:rsidRPr="0052605C" w:rsidRDefault="0052605C" w:rsidP="0052605C">
                  <w:pPr>
                    <w:jc w:val="center"/>
                    <w:rPr>
                      <w:rFonts w:ascii="David" w:eastAsia="Calibri" w:hAnsi="David" w:cs="David"/>
                      <w:b/>
                      <w:bCs/>
                      <w:color w:val="002060"/>
                      <w:sz w:val="19"/>
                      <w:szCs w:val="19"/>
                      <w:rtl/>
                    </w:rPr>
                  </w:pPr>
                  <w:bookmarkStart w:id="4" w:name="_Hlk213927904"/>
                  <w:r w:rsidRPr="0052605C">
                    <w:rPr>
                      <w:rFonts w:ascii="David" w:eastAsia="Calibri" w:hAnsi="David" w:cs="David" w:hint="cs"/>
                      <w:b/>
                      <w:bCs/>
                      <w:color w:val="002060"/>
                      <w:sz w:val="19"/>
                      <w:szCs w:val="19"/>
                      <w:rtl/>
                    </w:rPr>
                    <w:t>תמר ליכטנשטט</w:t>
                  </w:r>
                </w:p>
                <w:p w14:paraId="1DF54338" w14:textId="1A155481" w:rsidR="00A6414A" w:rsidRPr="0052605C" w:rsidRDefault="0052605C" w:rsidP="0052605C">
                  <w:pPr>
                    <w:jc w:val="center"/>
                    <w:rPr>
                      <w:rFonts w:cs="David"/>
                      <w:noProof/>
                      <w:sz w:val="19"/>
                      <w:szCs w:val="19"/>
                      <w:rtl/>
                      <w:lang w:eastAsia="he-IL"/>
                    </w:rPr>
                  </w:pPr>
                  <w:r w:rsidRPr="0052605C">
                    <w:rPr>
                      <w:rFonts w:cs="David" w:hint="cs"/>
                      <w:noProof/>
                      <w:sz w:val="19"/>
                      <w:szCs w:val="19"/>
                      <w:rtl/>
                      <w:lang w:eastAsia="he-IL"/>
                    </w:rPr>
                    <w:t>כ"ז בחשוון</w:t>
                  </w:r>
                  <w:r>
                    <w:rPr>
                      <w:rtl/>
                    </w:rPr>
                    <w:t xml:space="preserve"> </w:t>
                  </w:r>
                  <w:r w:rsidRPr="0052605C">
                    <w:rPr>
                      <w:rFonts w:cs="David"/>
                      <w:noProof/>
                      <w:sz w:val="19"/>
                      <w:szCs w:val="19"/>
                      <w:rtl/>
                      <w:lang w:eastAsia="he-IL"/>
                    </w:rPr>
                    <w:t>תשס"ז</w:t>
                  </w:r>
                  <w:bookmarkEnd w:id="4"/>
                </w:p>
              </w:tc>
              <w:tc>
                <w:tcPr>
                  <w:tcW w:w="1983" w:type="dxa"/>
                  <w:gridSpan w:val="2"/>
                  <w:vAlign w:val="center"/>
                </w:tcPr>
                <w:p w14:paraId="652087B2" w14:textId="77777777" w:rsidR="00A6414A" w:rsidRPr="00A6414A" w:rsidRDefault="00A6414A" w:rsidP="002D608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2D608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2D608A">
                  <w:pPr>
                    <w:ind w:left="26" w:right="41"/>
                    <w:contextualSpacing/>
                    <w:jc w:val="center"/>
                    <w:rPr>
                      <w:rFonts w:ascii="David" w:eastAsia="Calibri" w:hAnsi="David" w:cs="David"/>
                      <w:color w:val="002060"/>
                      <w:sz w:val="19"/>
                      <w:szCs w:val="19"/>
                      <w:rtl/>
                    </w:rPr>
                  </w:pPr>
                </w:p>
              </w:tc>
              <w:tc>
                <w:tcPr>
                  <w:tcW w:w="291" w:type="dxa"/>
                  <w:vAlign w:val="center"/>
                </w:tcPr>
                <w:p w14:paraId="483C94A6" w14:textId="77777777" w:rsidR="00A6414A" w:rsidRPr="00A6414A" w:rsidRDefault="00A6414A" w:rsidP="002D608A">
                  <w:pPr>
                    <w:ind w:right="-57"/>
                    <w:contextualSpacing/>
                    <w:jc w:val="center"/>
                    <w:rPr>
                      <w:sz w:val="19"/>
                      <w:szCs w:val="19"/>
                      <w:rtl/>
                    </w:rPr>
                  </w:pPr>
                </w:p>
              </w:tc>
            </w:tr>
            <w:bookmarkEnd w:id="3"/>
          </w:tbl>
          <w:p w14:paraId="0F365956" w14:textId="0F42AEC9" w:rsidR="00E8510C" w:rsidRPr="00451315" w:rsidRDefault="00E8510C" w:rsidP="002D608A">
            <w:pPr>
              <w:contextualSpacing/>
              <w:rPr>
                <w:rFonts w:ascii="David" w:hAnsi="David" w:cs="David"/>
                <w:sz w:val="18"/>
                <w:szCs w:val="18"/>
                <w:rtl/>
              </w:rPr>
            </w:pPr>
          </w:p>
        </w:tc>
      </w:tr>
    </w:tbl>
    <w:p w14:paraId="00C2CE97" w14:textId="4F31072C" w:rsidR="00B275CF" w:rsidRPr="007D558E" w:rsidRDefault="001021BF" w:rsidP="002D608A">
      <w:pPr>
        <w:contextualSpacing/>
        <w:rPr>
          <w:rFonts w:ascii="Arial" w:eastAsia="Calibri" w:hAnsi="Arial" w:cs="Arial"/>
          <w:b/>
          <w:bCs/>
          <w:color w:val="C00000"/>
          <w:sz w:val="8"/>
          <w:szCs w:val="8"/>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3406E81C">
            <wp:simplePos x="0" y="0"/>
            <wp:positionH relativeFrom="margin">
              <wp:posOffset>-159385</wp:posOffset>
            </wp:positionH>
            <wp:positionV relativeFrom="paragraph">
              <wp:posOffset>7084999</wp:posOffset>
            </wp:positionV>
            <wp:extent cx="7434580" cy="2218413"/>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4580" cy="2218413"/>
                    </a:xfrm>
                    <a:prstGeom prst="rect">
                      <a:avLst/>
                    </a:prstGeom>
                    <a:noFill/>
                  </pic:spPr>
                </pic:pic>
              </a:graphicData>
            </a:graphic>
            <wp14:sizeRelH relativeFrom="page">
              <wp14:pctWidth>0</wp14:pctWidth>
            </wp14:sizeRelH>
            <wp14:sizeRelV relativeFrom="page">
              <wp14:pctHeight>0</wp14:pctHeight>
            </wp14:sizeRelV>
          </wp:anchor>
        </w:drawing>
      </w:r>
    </w:p>
    <w:bookmarkEnd w:id="2"/>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76CE7F84" w14:textId="77777777" w:rsidR="008E0024" w:rsidRPr="00C53C9A" w:rsidRDefault="008E0024" w:rsidP="002D608A">
      <w:pPr>
        <w:contextualSpacing/>
        <w:jc w:val="center"/>
        <w:rPr>
          <w:rFonts w:ascii="Arial" w:eastAsia="Calibri" w:hAnsi="Arial" w:cs="Arial"/>
          <w:b/>
          <w:bCs/>
          <w:color w:val="C00000"/>
          <w:sz w:val="6"/>
          <w:szCs w:val="6"/>
          <w:rtl/>
        </w:rPr>
      </w:pPr>
    </w:p>
    <w:p w14:paraId="65712BC6" w14:textId="77777777" w:rsidR="00E42C60" w:rsidRPr="00E42C60" w:rsidRDefault="00E42C60" w:rsidP="002D608A">
      <w:pPr>
        <w:contextualSpacing/>
        <w:jc w:val="center"/>
        <w:rPr>
          <w:rFonts w:ascii="Arial" w:eastAsia="Calibri" w:hAnsi="Arial" w:cs="Arial"/>
          <w:b/>
          <w:bCs/>
          <w:color w:val="C00000"/>
          <w:sz w:val="10"/>
          <w:szCs w:val="10"/>
          <w:rtl/>
        </w:rPr>
      </w:pPr>
    </w:p>
    <w:p w14:paraId="2E94EE8C" w14:textId="17605387" w:rsidR="007E4421" w:rsidRDefault="007E4421" w:rsidP="002D608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62E964C8" w:rsidR="007E4421" w:rsidRPr="00202D99" w:rsidRDefault="007E4421" w:rsidP="002D608A">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0237C24E" w14:textId="1D73BCD1" w:rsidR="009D10EF" w:rsidRDefault="0052605C" w:rsidP="009D10EF">
      <w:pPr>
        <w:contextualSpacing/>
        <w:jc w:val="center"/>
        <w:rPr>
          <w:rFonts w:ascii="FrankRuehl" w:eastAsia="Calibri" w:hAnsi="FrankRuehl" w:cs="FrankRuehl"/>
          <w:color w:val="0070C0"/>
          <w:sz w:val="16"/>
          <w:szCs w:val="16"/>
          <w:u w:val="single"/>
          <w:rtl/>
        </w:rPr>
      </w:pPr>
      <w:hyperlink r:id="rId13" w:history="1">
        <w:r w:rsidR="00C574A9" w:rsidRPr="00612829">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00216C5B" w14:textId="198B35BE" w:rsidR="009D10EF" w:rsidRDefault="00BD337C" w:rsidP="003D51B7">
      <w:pPr>
        <w:contextualSpacing/>
        <w:rPr>
          <w:rFonts w:ascii="Calibri" w:eastAsia="Calibri" w:hAnsi="Calibri" w:cs="David"/>
          <w:b/>
          <w:bCs/>
          <w:sz w:val="28"/>
          <w:szCs w:val="28"/>
          <w:rtl/>
        </w:rPr>
      </w:pPr>
      <w:r>
        <w:rPr>
          <w:noProof/>
        </w:rPr>
        <w:lastRenderedPageBreak/>
        <w:drawing>
          <wp:anchor distT="0" distB="0" distL="114300" distR="114300" simplePos="0" relativeHeight="252019712" behindDoc="1" locked="0" layoutInCell="1" allowOverlap="1" wp14:anchorId="0C9986AE" wp14:editId="7F2D974B">
            <wp:simplePos x="0" y="0"/>
            <wp:positionH relativeFrom="column">
              <wp:posOffset>4407535</wp:posOffset>
            </wp:positionH>
            <wp:positionV relativeFrom="paragraph">
              <wp:posOffset>-106680</wp:posOffset>
            </wp:positionV>
            <wp:extent cx="2612390" cy="527685"/>
            <wp:effectExtent l="0" t="0" r="0" b="571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2390" cy="527685"/>
                    </a:xfrm>
                    <a:prstGeom prst="rect">
                      <a:avLst/>
                    </a:prstGeom>
                    <a:noFill/>
                    <a:ln>
                      <a:noFill/>
                    </a:ln>
                  </pic:spPr>
                </pic:pic>
              </a:graphicData>
            </a:graphic>
          </wp:anchor>
        </w:drawing>
      </w:r>
    </w:p>
    <w:p w14:paraId="1A6EEB18" w14:textId="77777777" w:rsidR="003D51B7" w:rsidRDefault="003D51B7" w:rsidP="009D10EF">
      <w:pPr>
        <w:contextualSpacing/>
        <w:rPr>
          <w:rFonts w:ascii="Calibri" w:eastAsia="Calibri" w:hAnsi="Calibri" w:cs="David"/>
          <w:b/>
          <w:bCs/>
          <w:sz w:val="28"/>
          <w:szCs w:val="28"/>
          <w:rtl/>
        </w:rPr>
      </w:pPr>
    </w:p>
    <w:p w14:paraId="53EBF9B3" w14:textId="77777777" w:rsidR="003D51B7" w:rsidRPr="00D25B8B" w:rsidRDefault="003D51B7" w:rsidP="009D10EF">
      <w:pPr>
        <w:contextualSpacing/>
        <w:rPr>
          <w:rFonts w:ascii="Calibri" w:eastAsia="Calibri" w:hAnsi="Calibri" w:cs="David"/>
          <w:sz w:val="10"/>
          <w:szCs w:val="10"/>
          <w:rtl/>
        </w:rPr>
      </w:pPr>
    </w:p>
    <w:p w14:paraId="7A42E887" w14:textId="2C3DA4E7" w:rsidR="003A385E" w:rsidRPr="005E24E0" w:rsidRDefault="003A385E" w:rsidP="009D10EF">
      <w:pPr>
        <w:contextualSpacing/>
        <w:rPr>
          <w:rFonts w:ascii="Calibri" w:eastAsia="Calibri" w:hAnsi="Calibri" w:cs="David"/>
          <w:b/>
          <w:bCs/>
          <w:sz w:val="28"/>
          <w:szCs w:val="28"/>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5E24E0" w:rsidRDefault="003A70F2" w:rsidP="005E3AFB">
      <w:pPr>
        <w:contextualSpacing/>
        <w:jc w:val="right"/>
        <w:rPr>
          <w:rFonts w:ascii="David" w:eastAsia="Calibri" w:hAnsi="David" w:cs="David"/>
          <w:b/>
          <w:bCs/>
          <w:color w:val="0070C0"/>
          <w:sz w:val="22"/>
          <w:szCs w:val="22"/>
          <w:rtl/>
        </w:rPr>
      </w:pPr>
      <w:r w:rsidRPr="005E24E0">
        <w:rPr>
          <w:rFonts w:ascii="David" w:eastAsia="Calibri" w:hAnsi="David" w:cs="David" w:hint="cs"/>
          <w:b/>
          <w:bCs/>
          <w:color w:val="0070C0"/>
          <w:sz w:val="22"/>
          <w:szCs w:val="22"/>
          <w:rtl/>
        </w:rPr>
        <w:t>לע"נ מורנו הרב ארנרייך זצ"ל</w:t>
      </w:r>
      <w:r w:rsidR="00B42B24" w:rsidRPr="005E24E0">
        <w:rPr>
          <w:rFonts w:ascii="David" w:eastAsia="Calibri" w:hAnsi="David" w:cs="David" w:hint="cs"/>
          <w:b/>
          <w:bCs/>
          <w:color w:val="0070C0"/>
          <w:sz w:val="22"/>
          <w:szCs w:val="22"/>
          <w:rtl/>
        </w:rPr>
        <w:t xml:space="preserve">, </w:t>
      </w:r>
      <w:r w:rsidRPr="005E24E0">
        <w:rPr>
          <w:rFonts w:ascii="David" w:eastAsia="Calibri" w:hAnsi="David" w:cs="David" w:hint="cs"/>
          <w:b/>
          <w:bCs/>
          <w:color w:val="0070C0"/>
          <w:sz w:val="22"/>
          <w:szCs w:val="22"/>
          <w:rtl/>
        </w:rPr>
        <w:t xml:space="preserve">ממנו למדנו להרגיש את </w:t>
      </w:r>
      <w:proofErr w:type="spellStart"/>
      <w:r w:rsidRPr="005E24E0">
        <w:rPr>
          <w:rFonts w:ascii="David" w:eastAsia="Calibri" w:hAnsi="David" w:cs="David" w:hint="cs"/>
          <w:b/>
          <w:bCs/>
          <w:color w:val="0070C0"/>
          <w:sz w:val="22"/>
          <w:szCs w:val="22"/>
          <w:rtl/>
        </w:rPr>
        <w:t>הסברא</w:t>
      </w:r>
      <w:proofErr w:type="spellEnd"/>
      <w:r w:rsidRPr="005E24E0">
        <w:rPr>
          <w:rFonts w:ascii="David" w:eastAsia="Calibri" w:hAnsi="David" w:cs="David" w:hint="cs"/>
          <w:b/>
          <w:bCs/>
          <w:color w:val="0070C0"/>
          <w:sz w:val="22"/>
          <w:szCs w:val="22"/>
          <w:rtl/>
        </w:rPr>
        <w:t xml:space="preserve"> ולהתרגש מהבנת התורה</w:t>
      </w:r>
    </w:p>
    <w:p w14:paraId="09B9664C" w14:textId="77777777" w:rsidR="00612652" w:rsidRPr="00C54968" w:rsidRDefault="00612652" w:rsidP="002D608A">
      <w:pPr>
        <w:contextualSpacing/>
        <w:rPr>
          <w:rFonts w:ascii="David" w:eastAsia="Calibri" w:hAnsi="David" w:cs="David"/>
          <w:strike/>
          <w:sz w:val="8"/>
          <w:szCs w:val="8"/>
          <w:rtl/>
        </w:rPr>
      </w:pPr>
    </w:p>
    <w:p w14:paraId="1D7EC17B" w14:textId="77777777" w:rsidR="002D0DAA" w:rsidRPr="002D0DAA" w:rsidRDefault="002D0DAA" w:rsidP="002D0DAA">
      <w:pPr>
        <w:keepNext/>
        <w:keepLines/>
        <w:contextualSpacing/>
        <w:outlineLvl w:val="0"/>
        <w:rPr>
          <w:rFonts w:ascii="David" w:hAnsi="David" w:cs="David"/>
          <w:b/>
          <w:bCs/>
          <w:color w:val="0070C0"/>
          <w:sz w:val="32"/>
          <w:szCs w:val="32"/>
          <w:rtl/>
        </w:rPr>
      </w:pPr>
      <w:bookmarkStart w:id="5" w:name="_Hlk208479582"/>
      <w:r w:rsidRPr="002D0DAA">
        <w:rPr>
          <w:rFonts w:ascii="David" w:hAnsi="David" w:cs="David" w:hint="cs"/>
          <w:b/>
          <w:bCs/>
          <w:color w:val="0070C0"/>
          <w:sz w:val="32"/>
          <w:szCs w:val="32"/>
          <w:rtl/>
        </w:rPr>
        <w:t>חזרה ותוספת מילים בתפילות השונות</w:t>
      </w:r>
    </w:p>
    <w:p w14:paraId="22D1574A" w14:textId="77777777" w:rsidR="002D0DAA" w:rsidRPr="002D0DAA" w:rsidRDefault="002D0DAA" w:rsidP="002D0DAA">
      <w:pPr>
        <w:contextualSpacing/>
        <w:rPr>
          <w:rFonts w:ascii="David" w:eastAsia="Calibri" w:hAnsi="David" w:cs="David"/>
          <w:rtl/>
        </w:rPr>
      </w:pPr>
    </w:p>
    <w:p w14:paraId="540E6FEC" w14:textId="77777777" w:rsidR="002D0DAA" w:rsidRPr="002D0DAA" w:rsidRDefault="0052605C" w:rsidP="002D0DAA">
      <w:pPr>
        <w:contextualSpacing/>
        <w:rPr>
          <w:rFonts w:ascii="David" w:eastAsia="Calibri" w:hAnsi="David" w:cs="David"/>
          <w:rtl/>
        </w:rPr>
      </w:pPr>
      <w:hyperlink r:id="rId16" w:history="1">
        <w:r w:rsidR="002D0DAA" w:rsidRPr="002D0DAA">
          <w:rPr>
            <w:rFonts w:ascii="David" w:eastAsia="Calibri" w:hAnsi="David" w:cs="David" w:hint="cs"/>
            <w:color w:val="0563C1"/>
            <w:u w:val="single"/>
            <w:rtl/>
          </w:rPr>
          <w:t>בשבוע שעבר</w:t>
        </w:r>
      </w:hyperlink>
      <w:r w:rsidR="002D0DAA" w:rsidRPr="002D0DAA">
        <w:rPr>
          <w:rFonts w:ascii="David" w:eastAsia="Calibri" w:hAnsi="David" w:cs="David" w:hint="cs"/>
          <w:rtl/>
        </w:rPr>
        <w:t xml:space="preserve"> התחלנו את עיסוקנו בשאלה אם מותר לחזור על מילים, פסוקים וקטעים בתפילה.</w:t>
      </w:r>
    </w:p>
    <w:p w14:paraId="48E899DC"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נסכם בקצרה יסודות מרכזיים שלמדנו:</w:t>
      </w:r>
    </w:p>
    <w:p w14:paraId="1E6360B2" w14:textId="77777777" w:rsidR="002D0DAA" w:rsidRPr="002D0DAA" w:rsidRDefault="002D0DAA" w:rsidP="002D0DAA">
      <w:pPr>
        <w:numPr>
          <w:ilvl w:val="0"/>
          <w:numId w:val="9"/>
        </w:numPr>
        <w:ind w:left="423" w:hanging="218"/>
        <w:contextualSpacing/>
        <w:jc w:val="both"/>
        <w:rPr>
          <w:rFonts w:ascii="David" w:eastAsia="Calibri" w:hAnsi="David" w:cs="David"/>
        </w:rPr>
      </w:pPr>
      <w:r w:rsidRPr="002D0DAA">
        <w:rPr>
          <w:rFonts w:ascii="David" w:eastAsia="Calibri" w:hAnsi="David" w:cs="David" w:hint="cs"/>
          <w:rtl/>
        </w:rPr>
        <w:t xml:space="preserve">ישנם פסוקים וקטעים שחזרה עליהם עשויה חלילה להישמע כתפילה </w:t>
      </w:r>
      <w:proofErr w:type="spellStart"/>
      <w:r w:rsidRPr="002D0DAA">
        <w:rPr>
          <w:rFonts w:ascii="David" w:eastAsia="Calibri" w:hAnsi="David" w:cs="David" w:hint="cs"/>
          <w:rtl/>
        </w:rPr>
        <w:t>ליישות</w:t>
      </w:r>
      <w:proofErr w:type="spellEnd"/>
      <w:r w:rsidRPr="002D0DAA">
        <w:rPr>
          <w:rFonts w:ascii="David" w:eastAsia="Calibri" w:hAnsi="David" w:cs="David" w:hint="cs"/>
          <w:rtl/>
        </w:rPr>
        <w:t xml:space="preserve"> נוספת חוץ מהקב"ה (לדוגמא: "שמע ישראל", "מודים").</w:t>
      </w:r>
    </w:p>
    <w:p w14:paraId="658142FC" w14:textId="77777777" w:rsidR="002D0DAA" w:rsidRPr="002D0DAA" w:rsidRDefault="002D0DAA" w:rsidP="002D0DAA">
      <w:pPr>
        <w:numPr>
          <w:ilvl w:val="0"/>
          <w:numId w:val="9"/>
        </w:numPr>
        <w:ind w:left="423" w:hanging="218"/>
        <w:contextualSpacing/>
        <w:jc w:val="both"/>
        <w:rPr>
          <w:rFonts w:ascii="David" w:eastAsia="Calibri" w:hAnsi="David" w:cs="David"/>
        </w:rPr>
      </w:pPr>
      <w:r w:rsidRPr="002D0DAA">
        <w:rPr>
          <w:rFonts w:ascii="David" w:eastAsia="Calibri" w:hAnsi="David" w:cs="David" w:hint="cs"/>
          <w:rtl/>
        </w:rPr>
        <w:t xml:space="preserve">ישנם פסוקים או קטעים שחזרה עליהם מגונה, מפני שהיא נשמעת כעיסוק לא רציני בתפילה (כך עלה בדברי </w:t>
      </w:r>
      <w:proofErr w:type="spellStart"/>
      <w:r w:rsidRPr="002D0DAA">
        <w:rPr>
          <w:rFonts w:ascii="David" w:eastAsia="Calibri" w:hAnsi="David" w:cs="David" w:hint="cs"/>
          <w:rtl/>
        </w:rPr>
        <w:t>אביי</w:t>
      </w:r>
      <w:proofErr w:type="spellEnd"/>
      <w:r w:rsidRPr="002D0DAA">
        <w:rPr>
          <w:rFonts w:ascii="David" w:eastAsia="Calibri" w:hAnsi="David" w:cs="David" w:hint="cs"/>
          <w:rtl/>
        </w:rPr>
        <w:t>, האומר שיש לקחת יותר ברצינות עמידה לפני ה' ולמנוע את הצורך בחזרה על מילים, וכך נשמע מרש"י האומר שחזרה על מילים נשמעת כליצנות).</w:t>
      </w:r>
    </w:p>
    <w:p w14:paraId="2AF3B1D6" w14:textId="77777777" w:rsidR="002D0DAA" w:rsidRPr="002D0DAA" w:rsidRDefault="002D0DAA" w:rsidP="002D0DAA">
      <w:pPr>
        <w:numPr>
          <w:ilvl w:val="0"/>
          <w:numId w:val="9"/>
        </w:numPr>
        <w:ind w:left="423" w:hanging="218"/>
        <w:contextualSpacing/>
        <w:jc w:val="both"/>
        <w:rPr>
          <w:rFonts w:ascii="David" w:eastAsia="Calibri" w:hAnsi="David" w:cs="David"/>
        </w:rPr>
      </w:pPr>
      <w:r w:rsidRPr="002D0DAA">
        <w:rPr>
          <w:rFonts w:ascii="David" w:eastAsia="Calibri" w:hAnsi="David" w:cs="David" w:hint="cs"/>
          <w:rtl/>
        </w:rPr>
        <w:t>הריף ורב האי גאון מציעים שיהיה פחות חמור לחזור על מקטע הגיוני שלם. כאמור, דבר זה נתון במחלוקת.</w:t>
      </w:r>
    </w:p>
    <w:p w14:paraId="61FA34FC" w14:textId="77777777" w:rsidR="002D0DAA" w:rsidRPr="002D0DAA" w:rsidRDefault="002D0DAA" w:rsidP="002D0DAA">
      <w:pPr>
        <w:numPr>
          <w:ilvl w:val="0"/>
          <w:numId w:val="9"/>
        </w:numPr>
        <w:ind w:left="423" w:hanging="218"/>
        <w:contextualSpacing/>
        <w:jc w:val="both"/>
        <w:rPr>
          <w:rFonts w:ascii="David" w:eastAsia="Calibri" w:hAnsi="David" w:cs="David"/>
        </w:rPr>
      </w:pPr>
      <w:r w:rsidRPr="002D0DAA">
        <w:rPr>
          <w:rFonts w:ascii="David" w:eastAsia="Calibri" w:hAnsi="David" w:cs="David" w:hint="cs"/>
          <w:rtl/>
        </w:rPr>
        <w:t xml:space="preserve">רוב האיסורים שלמדנו נובעים מכך שחזרה </w:t>
      </w:r>
      <w:r w:rsidRPr="002D0DAA">
        <w:rPr>
          <w:rFonts w:ascii="David" w:eastAsia="Calibri" w:hAnsi="David" w:cs="David" w:hint="cs"/>
          <w:b/>
          <w:bCs/>
          <w:rtl/>
        </w:rPr>
        <w:t>נשמעת</w:t>
      </w:r>
      <w:r w:rsidRPr="002D0DAA">
        <w:rPr>
          <w:rFonts w:ascii="David" w:eastAsia="Calibri" w:hAnsi="David" w:cs="David" w:hint="cs"/>
          <w:rtl/>
        </w:rPr>
        <w:t xml:space="preserve"> בעייתית. מתוך כך חולקים הפוסקים אם מותר לאדם לחזור על הדברים כאשר אחרים אינם שומעים.</w:t>
      </w:r>
    </w:p>
    <w:p w14:paraId="56CF8402" w14:textId="77777777" w:rsidR="002D0DAA" w:rsidRPr="002D0DAA" w:rsidRDefault="002D0DAA" w:rsidP="002D0DAA">
      <w:pPr>
        <w:numPr>
          <w:ilvl w:val="0"/>
          <w:numId w:val="9"/>
        </w:numPr>
        <w:ind w:left="423" w:hanging="218"/>
        <w:contextualSpacing/>
        <w:jc w:val="both"/>
        <w:rPr>
          <w:rFonts w:ascii="David" w:eastAsia="Calibri" w:hAnsi="David" w:cs="David"/>
          <w:rtl/>
        </w:rPr>
      </w:pPr>
      <w:r w:rsidRPr="002D0DAA">
        <w:rPr>
          <w:rFonts w:ascii="David" w:eastAsia="Calibri" w:hAnsi="David" w:cs="David" w:hint="cs"/>
          <w:rtl/>
        </w:rPr>
        <w:t xml:space="preserve">למדנו נפקא מינה הפוכה: חזרה ציבורית, כמו שנהוג בסיום יום הכיפורים, אינה בעייתית, מפני שכולם מבינים את המעמד. המגן אברהם הקשה על הצעה זו מהגמרא במגילה, </w:t>
      </w:r>
      <w:proofErr w:type="spellStart"/>
      <w:r w:rsidRPr="002D0DAA">
        <w:rPr>
          <w:rFonts w:ascii="David" w:eastAsia="Calibri" w:hAnsi="David" w:cs="David" w:hint="cs"/>
          <w:rtl/>
        </w:rPr>
        <w:t>והאליה</w:t>
      </w:r>
      <w:proofErr w:type="spellEnd"/>
      <w:r w:rsidRPr="002D0DAA">
        <w:rPr>
          <w:rFonts w:ascii="David" w:eastAsia="Calibri" w:hAnsi="David" w:cs="David" w:hint="cs"/>
          <w:rtl/>
        </w:rPr>
        <w:t xml:space="preserve"> רבה דוחה את דבריו ואומר שבסוגיה במגילה מדובר שהחזרה נאמרת דרך שיר. כלומר, אמנם זו שירה ציבורית, וכל הציבור מכירים את השיר, אבל זה נעשה בדרך שירה, ולא בדרך תפילה, ולכן גם שם יש חשש שאנשים לא יבינו את הדברים.</w:t>
      </w:r>
    </w:p>
    <w:p w14:paraId="7208201C" w14:textId="77777777" w:rsidR="002D0DAA" w:rsidRPr="002D0DAA" w:rsidRDefault="002D0DAA" w:rsidP="002D0DAA">
      <w:pPr>
        <w:contextualSpacing/>
        <w:rPr>
          <w:rFonts w:ascii="David" w:eastAsia="Calibri" w:hAnsi="David" w:cs="David"/>
          <w:rtl/>
        </w:rPr>
      </w:pPr>
    </w:p>
    <w:p w14:paraId="3CC4B4C7"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מצוידים ברקע הזה, נתחיל לברר את ההשלכות המעשיות המובאות בדברי הפוסקים.</w:t>
      </w:r>
    </w:p>
    <w:p w14:paraId="615811A1"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 xml:space="preserve">כאשר חזן חוזר על מילותיו רק בכדי להתאים את השיר למנגינה, לכאורה אנו נתקלים בבעיה שכתב רש"י, שהמשפט אינו הגיוני. לדוגמא, שליח ציבור האומר: כתר יתנו לך מלאכים המוני מעלה עם עמך ישראל </w:t>
      </w:r>
      <w:proofErr w:type="spellStart"/>
      <w:r w:rsidRPr="002D0DAA">
        <w:rPr>
          <w:rFonts w:ascii="David" w:eastAsia="Calibri" w:hAnsi="David" w:cs="David" w:hint="cs"/>
          <w:rtl/>
        </w:rPr>
        <w:t>קבוצי</w:t>
      </w:r>
      <w:proofErr w:type="spellEnd"/>
      <w:r w:rsidRPr="002D0DAA">
        <w:rPr>
          <w:rFonts w:ascii="David" w:eastAsia="Calibri" w:hAnsi="David" w:cs="David" w:hint="cs"/>
          <w:rtl/>
        </w:rPr>
        <w:t xml:space="preserve"> מטה יחד </w:t>
      </w:r>
      <w:proofErr w:type="spellStart"/>
      <w:r w:rsidRPr="002D0DAA">
        <w:rPr>
          <w:rFonts w:ascii="David" w:eastAsia="Calibri" w:hAnsi="David" w:cs="David" w:hint="cs"/>
          <w:rtl/>
        </w:rPr>
        <w:t>יחד</w:t>
      </w:r>
      <w:proofErr w:type="spellEnd"/>
      <w:r w:rsidRPr="002D0DAA">
        <w:rPr>
          <w:rFonts w:ascii="David" w:eastAsia="Calibri" w:hAnsi="David" w:cs="David" w:hint="cs"/>
          <w:rtl/>
        </w:rPr>
        <w:t xml:space="preserve"> </w:t>
      </w:r>
      <w:proofErr w:type="spellStart"/>
      <w:r w:rsidRPr="002D0DAA">
        <w:rPr>
          <w:rFonts w:ascii="David" w:eastAsia="Calibri" w:hAnsi="David" w:cs="David" w:hint="cs"/>
          <w:rtl/>
        </w:rPr>
        <w:t>יחד</w:t>
      </w:r>
      <w:proofErr w:type="spellEnd"/>
      <w:r w:rsidRPr="002D0DAA">
        <w:rPr>
          <w:rFonts w:ascii="David" w:eastAsia="Calibri" w:hAnsi="David" w:cs="David" w:hint="cs"/>
          <w:rtl/>
        </w:rPr>
        <w:t xml:space="preserve"> </w:t>
      </w:r>
      <w:proofErr w:type="spellStart"/>
      <w:r w:rsidRPr="002D0DAA">
        <w:rPr>
          <w:rFonts w:ascii="David" w:eastAsia="Calibri" w:hAnsi="David" w:cs="David" w:hint="cs"/>
          <w:rtl/>
        </w:rPr>
        <w:t>יחד</w:t>
      </w:r>
      <w:proofErr w:type="spellEnd"/>
      <w:r w:rsidRPr="002D0DAA">
        <w:rPr>
          <w:rFonts w:ascii="David" w:eastAsia="Calibri" w:hAnsi="David" w:cs="David" w:hint="cs"/>
          <w:rtl/>
        </w:rPr>
        <w:t xml:space="preserve"> </w:t>
      </w:r>
      <w:proofErr w:type="spellStart"/>
      <w:r w:rsidRPr="002D0DAA">
        <w:rPr>
          <w:rFonts w:ascii="David" w:eastAsia="Calibri" w:hAnsi="David" w:cs="David" w:hint="cs"/>
          <w:rtl/>
        </w:rPr>
        <w:t>יחד</w:t>
      </w:r>
      <w:proofErr w:type="spellEnd"/>
      <w:r w:rsidRPr="002D0DAA">
        <w:rPr>
          <w:rFonts w:ascii="David" w:eastAsia="Calibri" w:hAnsi="David" w:cs="David" w:hint="cs"/>
          <w:rtl/>
        </w:rPr>
        <w:t xml:space="preserve"> </w:t>
      </w:r>
      <w:proofErr w:type="spellStart"/>
      <w:r w:rsidRPr="002D0DAA">
        <w:rPr>
          <w:rFonts w:ascii="David" w:eastAsia="Calibri" w:hAnsi="David" w:cs="David" w:hint="cs"/>
          <w:rtl/>
        </w:rPr>
        <w:t>יחד</w:t>
      </w:r>
      <w:proofErr w:type="spellEnd"/>
      <w:r w:rsidRPr="002D0DAA">
        <w:rPr>
          <w:rFonts w:ascii="David" w:eastAsia="Calibri" w:hAnsi="David" w:cs="David" w:hint="cs"/>
          <w:rtl/>
        </w:rPr>
        <w:t xml:space="preserve"> </w:t>
      </w:r>
      <w:proofErr w:type="spellStart"/>
      <w:r w:rsidRPr="002D0DAA">
        <w:rPr>
          <w:rFonts w:ascii="David" w:eastAsia="Calibri" w:hAnsi="David" w:cs="David" w:hint="cs"/>
          <w:rtl/>
        </w:rPr>
        <w:t>יחד</w:t>
      </w:r>
      <w:proofErr w:type="spellEnd"/>
      <w:r w:rsidRPr="002D0DAA">
        <w:rPr>
          <w:rFonts w:ascii="David" w:eastAsia="Calibri" w:hAnsi="David" w:cs="David" w:hint="cs"/>
          <w:rtl/>
        </w:rPr>
        <w:t xml:space="preserve"> </w:t>
      </w:r>
      <w:proofErr w:type="spellStart"/>
      <w:r w:rsidRPr="002D0DAA">
        <w:rPr>
          <w:rFonts w:ascii="David" w:eastAsia="Calibri" w:hAnsi="David" w:cs="David" w:hint="cs"/>
          <w:rtl/>
        </w:rPr>
        <w:t>יחד</w:t>
      </w:r>
      <w:proofErr w:type="spellEnd"/>
      <w:r w:rsidRPr="002D0DAA">
        <w:rPr>
          <w:rFonts w:ascii="David" w:eastAsia="Calibri" w:hAnsi="David" w:cs="David" w:hint="cs"/>
          <w:rtl/>
        </w:rPr>
        <w:t xml:space="preserve"> כולם קדושה לך ישלשו" </w:t>
      </w:r>
      <w:r w:rsidRPr="002D0DAA">
        <w:rPr>
          <w:rFonts w:ascii="David" w:eastAsia="Calibri" w:hAnsi="David" w:cs="David"/>
          <w:rtl/>
        </w:rPr>
        <w:t>–</w:t>
      </w:r>
      <w:r w:rsidRPr="002D0DAA">
        <w:rPr>
          <w:rFonts w:ascii="David" w:eastAsia="Calibri" w:hAnsi="David" w:cs="David" w:hint="cs"/>
          <w:rtl/>
        </w:rPr>
        <w:t xml:space="preserve"> זה לא משפט סביר. היה מקום לומר שמכיוון שהציבור מבין שהדבר נאמר כך עבור המנגינה, אך כפי שראינו מדברי האליה רבה, כאשר החזרה נעשית עבור שיר אין חולק שחזרה זו בעייתית.</w:t>
      </w:r>
    </w:p>
    <w:p w14:paraId="0AA93771"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לכן ישנה הסכמה רחבה שאסור לחזור על מילים באופן שאינו הגיוני אלא נועד לשרת את המנגינה.</w:t>
      </w:r>
    </w:p>
    <w:p w14:paraId="18C09763"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 xml:space="preserve">ברם יש לציין שישנם מקורות להתיר חזרה לצורך המנגינה: פרשנים רבים מבארים בתנ"ך במקומות שונים שישנה חזרה וכפילה של מילים בכדי להעצים תחושה. בפרשיות האחרונות יש חזרה על שמות (נח </w:t>
      </w:r>
      <w:proofErr w:type="spellStart"/>
      <w:r w:rsidRPr="002D0DAA">
        <w:rPr>
          <w:rFonts w:ascii="David" w:eastAsia="Calibri" w:hAnsi="David" w:cs="David" w:hint="cs"/>
          <w:rtl/>
        </w:rPr>
        <w:t>נח</w:t>
      </w:r>
      <w:proofErr w:type="spellEnd"/>
      <w:r w:rsidRPr="002D0DAA">
        <w:rPr>
          <w:rFonts w:ascii="David" w:eastAsia="Calibri" w:hAnsi="David" w:cs="David" w:hint="cs"/>
          <w:rtl/>
        </w:rPr>
        <w:t xml:space="preserve">, אברהם אברהם). בפרשה האחרונה יש מעין שיר </w:t>
      </w:r>
      <w:r w:rsidRPr="002D0DAA">
        <w:rPr>
          <w:rFonts w:ascii="David" w:eastAsia="Calibri" w:hAnsi="David" w:cs="David"/>
          <w:rtl/>
        </w:rPr>
        <w:t>–</w:t>
      </w:r>
      <w:r w:rsidRPr="002D0DAA">
        <w:rPr>
          <w:rFonts w:ascii="David" w:eastAsia="Calibri" w:hAnsi="David" w:cs="David" w:hint="cs"/>
          <w:rtl/>
        </w:rPr>
        <w:t xml:space="preserve"> "וה' פקד את שרה כאשר אמר, ויעש ה' לשרה כאשר דיבר). בהלל עצמו: אנא ה' כי אני עבדך אני עבדך בן אמתך". </w:t>
      </w:r>
      <w:proofErr w:type="spellStart"/>
      <w:r w:rsidRPr="002D0DAA">
        <w:rPr>
          <w:rFonts w:ascii="David" w:eastAsia="Calibri" w:hAnsi="David" w:cs="David" w:hint="cs"/>
          <w:rtl/>
        </w:rPr>
        <w:t>הריב"ש</w:t>
      </w:r>
      <w:proofErr w:type="spellEnd"/>
      <w:r w:rsidRPr="002D0DAA">
        <w:rPr>
          <w:rFonts w:ascii="David" w:eastAsia="Calibri" w:hAnsi="David" w:cs="David" w:hint="cs"/>
          <w:rtl/>
        </w:rPr>
        <w:t xml:space="preserve"> מבאר את החזרה על קטעים מתוך ההלל בכדי להעצים את השירה.</w:t>
      </w:r>
    </w:p>
    <w:p w14:paraId="2F7C6052"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נראה שיש חילוק פשוט בין הדברים. שירת התפילה מורכבת מהמנגינה ומהמילים. בחירת מילים שאנו מבקשים להעצים את הכוונה והמחשבה עליהם מבורכת. כאשר ייסדו "אני עבדך, אני עבדך בן אמתך" ביקשו להעצים באופן שירי את התודעה של האדם שהוא עבד ה'. השיר והמנגינה נועדו להעצים את החוויה של האדם מול רבש"ע. הבעיה היא כאשר המילים מהוות כלי שרת עבור המנגינה. מבורך הוא שחזנים משקיעים ומוסרים את קולם לחיזוק האווירה ועבודת ה'. אך אל לנו לערבב בין מטרה ובין אמצעי: המטרה היא התפילה, המנגינה היא האמצעי.</w:t>
      </w:r>
    </w:p>
    <w:p w14:paraId="5187FBD6"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 xml:space="preserve">דוגמא לדבר מצאנו בהליכות שלמה, שם תלמידי </w:t>
      </w:r>
      <w:proofErr w:type="spellStart"/>
      <w:r w:rsidRPr="002D0DAA">
        <w:rPr>
          <w:rFonts w:ascii="David" w:eastAsia="Calibri" w:hAnsi="David" w:cs="David" w:hint="cs"/>
          <w:rtl/>
        </w:rPr>
        <w:t>הגרש"ז</w:t>
      </w:r>
      <w:proofErr w:type="spellEnd"/>
      <w:r w:rsidRPr="002D0DAA">
        <w:rPr>
          <w:rFonts w:ascii="David" w:eastAsia="Calibri" w:hAnsi="David" w:cs="David" w:hint="cs"/>
          <w:rtl/>
        </w:rPr>
        <w:t xml:space="preserve"> אומרים שהוא התיר לציבור לחזור על קטעים מתוך שירת ההלל יחד עם שליח הציבור בכדי להעצים את הכבוד וההלל לקב"ה.</w:t>
      </w:r>
    </w:p>
    <w:p w14:paraId="68D5169C" w14:textId="77777777" w:rsidR="002D0DAA" w:rsidRPr="002D0DAA" w:rsidRDefault="002D0DAA" w:rsidP="002D0DAA">
      <w:pPr>
        <w:contextualSpacing/>
        <w:rPr>
          <w:rFonts w:ascii="David" w:eastAsia="Calibri" w:hAnsi="David" w:cs="David"/>
          <w:rtl/>
        </w:rPr>
      </w:pPr>
    </w:p>
    <w:p w14:paraId="51D13EA7"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נעבור לחזרה על מילים לצורך כוונה יתרה:</w:t>
      </w:r>
    </w:p>
    <w:p w14:paraId="635D80A8"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 xml:space="preserve">ביחס לתוספות בתפילה, </w:t>
      </w:r>
      <w:proofErr w:type="spellStart"/>
      <w:r w:rsidRPr="002D0DAA">
        <w:rPr>
          <w:rFonts w:ascii="David" w:eastAsia="Calibri" w:hAnsi="David" w:cs="David" w:hint="cs"/>
          <w:rtl/>
        </w:rPr>
        <w:t>השו"ע</w:t>
      </w:r>
      <w:proofErr w:type="spellEnd"/>
      <w:r w:rsidRPr="002D0DAA">
        <w:rPr>
          <w:rFonts w:ascii="David" w:eastAsia="Calibri" w:hAnsi="David" w:cs="David" w:hint="cs"/>
          <w:rtl/>
        </w:rPr>
        <w:t xml:space="preserve"> (אורח חיים סימן </w:t>
      </w:r>
      <w:proofErr w:type="spellStart"/>
      <w:r w:rsidRPr="002D0DAA">
        <w:rPr>
          <w:rFonts w:ascii="David" w:eastAsia="Calibri" w:hAnsi="David" w:cs="David" w:hint="cs"/>
          <w:rtl/>
        </w:rPr>
        <w:t>קיב</w:t>
      </w:r>
      <w:proofErr w:type="spellEnd"/>
      <w:r w:rsidRPr="002D0DAA">
        <w:rPr>
          <w:rFonts w:ascii="David" w:eastAsia="Calibri" w:hAnsi="David" w:cs="David" w:hint="cs"/>
          <w:rtl/>
        </w:rPr>
        <w:t xml:space="preserve"> סעיף א וסימן קיט סעיף א) מגדיר כך:</w:t>
      </w:r>
    </w:p>
    <w:p w14:paraId="151D8DC4"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שלושת הברכות הראשונות נועדו לברכות כלליות. ולכן מותר להוסיף בהן רק בקשות כלליות, ולא פרטיות.</w:t>
      </w:r>
    </w:p>
    <w:p w14:paraId="29D45ECA"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הברכות האמצעיות (של ימות החול)</w:t>
      </w:r>
      <w:r w:rsidRPr="002D0DAA">
        <w:rPr>
          <w:rFonts w:ascii="David" w:eastAsia="Calibri" w:hAnsi="David" w:cs="David" w:hint="cs"/>
        </w:rPr>
        <w:t xml:space="preserve"> </w:t>
      </w:r>
      <w:r w:rsidRPr="002D0DAA">
        <w:rPr>
          <w:rFonts w:ascii="David" w:eastAsia="Calibri" w:hAnsi="David" w:cs="David" w:hint="cs"/>
          <w:rtl/>
        </w:rPr>
        <w:t>נועדו לבקשות פרטיות. ולכן מותר להוסיף בהן מעין הברכה (לדוגמא: בברכת חונן הדעת מותר להוסיף בקשה להצלחה באתגר הקשור לדעת, בברכת השנים מותר להוסיף בקשה לפרנסה, בברכת הרפואה מותר להתפלל על חולה מסוים, וכן על זה הדרך).</w:t>
      </w:r>
    </w:p>
    <w:p w14:paraId="534522E7"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אצל הראשונים היה מקובל מאוד להוסיף פיוטים מעניין הברכה לא רק לברכה הפרטית, אלא בעיקר לתפילת שליח הציבור.</w:t>
      </w:r>
    </w:p>
    <w:p w14:paraId="1E58E89D"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אם כך, יש לנו תקדימים מקובלים להוספת תוספות מעניין הברכה, הן בברכה הפרטית והן בברכה של שליח הציבור.</w:t>
      </w:r>
    </w:p>
    <w:p w14:paraId="53E089B4"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לכאורה אם מותר להוסיף תוספות, יש מקום להוסיף מילים המסייעות לכוונה על הדבר.</w:t>
      </w:r>
    </w:p>
    <w:p w14:paraId="680FA0D8"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 xml:space="preserve">אך בכך יש להיזהר: חז"ל תיקנו עבורנו נוסח תפילה מדוקדק. עלינו להיזהר לא לשנות את המשפטים שתיקנו במסגרת הברכות השונות. כוונתנו היא להוסיף משפטים שלמים (כפי שמבואר </w:t>
      </w:r>
      <w:proofErr w:type="spellStart"/>
      <w:r w:rsidRPr="002D0DAA">
        <w:rPr>
          <w:rFonts w:ascii="David" w:eastAsia="Calibri" w:hAnsi="David" w:cs="David" w:hint="cs"/>
          <w:rtl/>
        </w:rPr>
        <w:t>בשו"ע</w:t>
      </w:r>
      <w:proofErr w:type="spellEnd"/>
      <w:r w:rsidRPr="002D0DAA">
        <w:rPr>
          <w:rFonts w:ascii="David" w:eastAsia="Calibri" w:hAnsi="David" w:cs="David" w:hint="cs"/>
          <w:rtl/>
        </w:rPr>
        <w:t>), או לחזור ולחדד את המילים שהם עצמם תיקנו. כמובן שאין לשנות את המשפטים שחז"ל תיקנו, גם לא על ידי תוספת ביאור וחידוד שאנו הוגים.</w:t>
      </w:r>
    </w:p>
    <w:p w14:paraId="3A9A723C"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 xml:space="preserve">ובכל זאת, למדנו שני טעמים לא לחזור על המילים עצמם: א. דברי הגמרא, שחזרה על מילים היא דבר מגונה. ב. דברי </w:t>
      </w:r>
      <w:proofErr w:type="spellStart"/>
      <w:r w:rsidRPr="002D0DAA">
        <w:rPr>
          <w:rFonts w:ascii="David" w:eastAsia="Calibri" w:hAnsi="David" w:cs="David" w:hint="cs"/>
          <w:rtl/>
        </w:rPr>
        <w:t>אביי</w:t>
      </w:r>
      <w:proofErr w:type="spellEnd"/>
      <w:r w:rsidRPr="002D0DAA">
        <w:rPr>
          <w:rFonts w:ascii="David" w:eastAsia="Calibri" w:hAnsi="David" w:cs="David" w:hint="cs"/>
          <w:rtl/>
        </w:rPr>
        <w:t>.</w:t>
      </w:r>
    </w:p>
    <w:p w14:paraId="521D33A0"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 xml:space="preserve">בעל תפארת ישראל בפירוש המשניות כותב שאכן בציבור מגונה לחזור על מילים. אך האדם המתפלל לקב"ה וחוזר על מילים בכדי להעצים את כוונתו זה 'דרך ריצוי', ולכן זה מותר. </w:t>
      </w:r>
    </w:p>
    <w:p w14:paraId="45525412"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 xml:space="preserve">נחדד את כוונתו: בטור הקודם למדנו שיש שתי בעיות בחזרה על מילים: א. כפי שחידד </w:t>
      </w:r>
      <w:proofErr w:type="spellStart"/>
      <w:r w:rsidRPr="002D0DAA">
        <w:rPr>
          <w:rFonts w:ascii="David" w:eastAsia="Calibri" w:hAnsi="David" w:cs="David" w:hint="cs"/>
          <w:rtl/>
        </w:rPr>
        <w:t>הב"ח</w:t>
      </w:r>
      <w:proofErr w:type="spellEnd"/>
      <w:r w:rsidRPr="002D0DAA">
        <w:rPr>
          <w:rFonts w:ascii="David" w:eastAsia="Calibri" w:hAnsi="David" w:cs="David" w:hint="cs"/>
          <w:rtl/>
        </w:rPr>
        <w:t xml:space="preserve">, הציבור עשויים להבין שכוונתו להתפלל לשתי רשויות (חלילה), או שבפני הציבור הדבר נשמע כתפילה לא רצינית. ב. </w:t>
      </w:r>
      <w:proofErr w:type="spellStart"/>
      <w:r w:rsidRPr="002D0DAA">
        <w:rPr>
          <w:rFonts w:ascii="David" w:eastAsia="Calibri" w:hAnsi="David" w:cs="David" w:hint="cs"/>
          <w:rtl/>
        </w:rPr>
        <w:t>אביי</w:t>
      </w:r>
      <w:proofErr w:type="spellEnd"/>
      <w:r w:rsidRPr="002D0DAA">
        <w:rPr>
          <w:rFonts w:ascii="David" w:eastAsia="Calibri" w:hAnsi="David" w:cs="David" w:hint="cs"/>
          <w:rtl/>
        </w:rPr>
        <w:t xml:space="preserve"> בגמרא אומר שלא מדברים עם הקב"ה כמו שמדברים עם חבר. נראה שבעל תפארת ישראל בא לענות על שני הדברים: האדם מתפלל בינו ובין עצמו. אך גם בינו ובין עצמו זה עשוי להישמע כפנייה לא רצינית, כדברי </w:t>
      </w:r>
      <w:proofErr w:type="spellStart"/>
      <w:r w:rsidRPr="002D0DAA">
        <w:rPr>
          <w:rFonts w:ascii="David" w:eastAsia="Calibri" w:hAnsi="David" w:cs="David" w:hint="cs"/>
          <w:rtl/>
        </w:rPr>
        <w:t>אביי</w:t>
      </w:r>
      <w:proofErr w:type="spellEnd"/>
      <w:r w:rsidRPr="002D0DAA">
        <w:rPr>
          <w:rFonts w:ascii="David" w:eastAsia="Calibri" w:hAnsi="David" w:cs="David" w:hint="cs"/>
          <w:rtl/>
        </w:rPr>
        <w:t>. על כך הוא משיב שאם הדברים נעשים בדרך ריצוי, אדרבה, כך יש לדבר לפני מלך.</w:t>
      </w:r>
    </w:p>
    <w:p w14:paraId="0270134E"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lastRenderedPageBreak/>
        <w:t>פוסקים רבים פסקו שמותר לחזור על מילים אם המטרה היא להעצים את הכוונה. חלקם אף מעודדים חזרה על מילים לצורך תוספת כוונה. כאמור, מהפיוטים שתיקנו ראשונים אנו למדים שאף שליח הציבור רשאי להוסיף לנוסח בכדי להעצים את כוונת הציבור.</w:t>
      </w:r>
    </w:p>
    <w:p w14:paraId="20A145DE"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לסיכומו של דבר נסכם ונאמר שתוספת וחזרה מותרים בתנאים הבאים:</w:t>
      </w:r>
    </w:p>
    <w:p w14:paraId="660227C5" w14:textId="77777777" w:rsidR="002D0DAA" w:rsidRPr="002D0DAA" w:rsidRDefault="002D0DAA" w:rsidP="002D0DAA">
      <w:pPr>
        <w:numPr>
          <w:ilvl w:val="0"/>
          <w:numId w:val="10"/>
        </w:numPr>
        <w:contextualSpacing/>
        <w:jc w:val="both"/>
        <w:rPr>
          <w:rFonts w:ascii="David" w:eastAsia="Calibri" w:hAnsi="David" w:cs="David"/>
        </w:rPr>
      </w:pPr>
      <w:r w:rsidRPr="002D0DAA">
        <w:rPr>
          <w:rFonts w:ascii="David" w:eastAsia="Calibri" w:hAnsi="David" w:cs="David" w:hint="cs"/>
          <w:rtl/>
        </w:rPr>
        <w:t>החזרה נעשית להעצמת כוונה, ולא עבור המנגינה.</w:t>
      </w:r>
    </w:p>
    <w:p w14:paraId="7BBCA467" w14:textId="77777777" w:rsidR="002D0DAA" w:rsidRPr="002D0DAA" w:rsidRDefault="002D0DAA" w:rsidP="002D0DAA">
      <w:pPr>
        <w:numPr>
          <w:ilvl w:val="0"/>
          <w:numId w:val="10"/>
        </w:numPr>
        <w:contextualSpacing/>
        <w:jc w:val="both"/>
        <w:rPr>
          <w:rFonts w:ascii="David" w:eastAsia="Calibri" w:hAnsi="David" w:cs="David"/>
        </w:rPr>
      </w:pPr>
      <w:r w:rsidRPr="002D0DAA">
        <w:rPr>
          <w:rFonts w:ascii="David" w:eastAsia="Calibri" w:hAnsi="David" w:cs="David" w:hint="cs"/>
          <w:rtl/>
        </w:rPr>
        <w:t>אין שינוי לנוסח הברכה שתיקנו חז"ל.</w:t>
      </w:r>
    </w:p>
    <w:p w14:paraId="0EFBFC95" w14:textId="77777777" w:rsidR="002D0DAA" w:rsidRPr="002D0DAA" w:rsidRDefault="002D0DAA" w:rsidP="002D0DAA">
      <w:pPr>
        <w:numPr>
          <w:ilvl w:val="0"/>
          <w:numId w:val="10"/>
        </w:numPr>
        <w:contextualSpacing/>
        <w:jc w:val="both"/>
        <w:rPr>
          <w:rFonts w:ascii="David" w:eastAsia="Calibri" w:hAnsi="David" w:cs="David"/>
        </w:rPr>
      </w:pPr>
      <w:r w:rsidRPr="002D0DAA">
        <w:rPr>
          <w:rFonts w:ascii="David" w:eastAsia="Calibri" w:hAnsi="David" w:cs="David" w:hint="cs"/>
          <w:rtl/>
        </w:rPr>
        <w:t>השומעים מבינים את מהות החזרה (והחזרה לא נשמעת להם כחוכא, או ככלי שרת למנגינות).</w:t>
      </w:r>
    </w:p>
    <w:p w14:paraId="741588AA" w14:textId="77777777" w:rsidR="002D0DAA" w:rsidRPr="002D0DAA" w:rsidRDefault="002D0DAA" w:rsidP="002D0DAA">
      <w:pPr>
        <w:numPr>
          <w:ilvl w:val="0"/>
          <w:numId w:val="10"/>
        </w:numPr>
        <w:contextualSpacing/>
        <w:jc w:val="both"/>
        <w:rPr>
          <w:rFonts w:ascii="David" w:eastAsia="Calibri" w:hAnsi="David" w:cs="David"/>
          <w:rtl/>
        </w:rPr>
      </w:pPr>
      <w:r w:rsidRPr="002D0DAA">
        <w:rPr>
          <w:rFonts w:ascii="David" w:eastAsia="Calibri" w:hAnsi="David" w:cs="David" w:hint="cs"/>
          <w:rtl/>
        </w:rPr>
        <w:t>בתפילת היחיד, שאחרים אינם שומעים, התנאי הוא דרך ריצוי והעצמת כוונה בלבד.</w:t>
      </w:r>
    </w:p>
    <w:p w14:paraId="7928C5DC" w14:textId="77777777" w:rsidR="002D0DAA" w:rsidRPr="002D0DAA" w:rsidRDefault="002D0DAA" w:rsidP="002D0DAA">
      <w:pPr>
        <w:contextualSpacing/>
        <w:rPr>
          <w:rFonts w:ascii="David" w:eastAsia="Calibri" w:hAnsi="David" w:cs="David"/>
          <w:rtl/>
        </w:rPr>
      </w:pPr>
    </w:p>
    <w:p w14:paraId="2C3B7C8A"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שימו לב שמן הדברים עלה חילוק מעניין בין ברכות ובין פסוקים:</w:t>
      </w:r>
    </w:p>
    <w:p w14:paraId="0125781A"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חזרה על מילים ואף פסוקים בתוך קריאת שמע, שמהותה קבלת עול מלכות שמיים, היא הבעייתית ביותר.</w:t>
      </w:r>
    </w:p>
    <w:p w14:paraId="157D393E"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גם חזרה על מילים מתוך ברכות שבח והודאה עשויה להיות בעייתית, שכן נשמע שחלילה האדם מודה לא רק לקב"ה לבדו.</w:t>
      </w:r>
    </w:p>
    <w:p w14:paraId="0009B10E"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יש להקפיד על נוסח הברכות שתיקנו חז"ל, אך מותר להוסיף להן מילים. לעומת זאת, דווקא בפסוקים ראוי להחמיר יותר, שכן הפסוק זו יחידה מתוך כתבי הקודש אותם אין לשנות. ברם כבר חז"ל תיקנו חזרה על פסוקים שלמים בפסוקי הלל, ואף שם אם הכוונה היא להעצים את הכוונה וברור לציבור שזו מטרת החזרה יהיה מותר (ואף משובח)</w:t>
      </w:r>
      <w:r w:rsidRPr="002D0DAA">
        <w:rPr>
          <w:rFonts w:ascii="David" w:eastAsia="Calibri" w:hAnsi="David" w:cs="David" w:hint="cs"/>
        </w:rPr>
        <w:t xml:space="preserve"> </w:t>
      </w:r>
      <w:r w:rsidRPr="002D0DAA">
        <w:rPr>
          <w:rFonts w:ascii="David" w:eastAsia="Calibri" w:hAnsi="David" w:cs="David" w:hint="cs"/>
          <w:rtl/>
        </w:rPr>
        <w:t>לחזור על פסוקים.</w:t>
      </w:r>
    </w:p>
    <w:p w14:paraId="0EDA278A" w14:textId="77777777" w:rsidR="002D0DAA" w:rsidRPr="002D0DAA" w:rsidRDefault="002D0DAA" w:rsidP="002D0DAA">
      <w:pPr>
        <w:contextualSpacing/>
        <w:rPr>
          <w:rFonts w:ascii="David" w:eastAsia="Calibri" w:hAnsi="David" w:cs="David"/>
          <w:rtl/>
        </w:rPr>
      </w:pPr>
      <w:r w:rsidRPr="002D0DAA">
        <w:rPr>
          <w:rFonts w:ascii="David" w:eastAsia="Calibri" w:hAnsi="David" w:cs="David" w:hint="cs"/>
          <w:rtl/>
        </w:rPr>
        <w:t>והעיקר שנכוון להגדיל ולשבח את שמו יתברך באופן ששמו יתגדל אצל אלוקים ואדם.</w:t>
      </w:r>
    </w:p>
    <w:p w14:paraId="32CACE2B" w14:textId="295415D9" w:rsidR="00175477" w:rsidRPr="00A72E9C" w:rsidRDefault="00175477" w:rsidP="00FD222E">
      <w:pPr>
        <w:contextualSpacing/>
        <w:rPr>
          <w:rFonts w:ascii="David" w:eastAsia="Calibri" w:hAnsi="David" w:cs="David"/>
          <w:sz w:val="16"/>
          <w:szCs w:val="16"/>
          <w:rtl/>
        </w:rPr>
      </w:pPr>
    </w:p>
    <w:p w14:paraId="61362AEF" w14:textId="43FD6642" w:rsidR="00A72E9C" w:rsidRDefault="001141B5" w:rsidP="002D0DAA">
      <w:pPr>
        <w:contextualSpacing/>
        <w:jc w:val="center"/>
        <w:rPr>
          <w:rStyle w:val="Hyperlink"/>
          <w:rFonts w:cs="David"/>
          <w:b/>
          <w:bCs/>
          <w:sz w:val="23"/>
          <w:szCs w:val="23"/>
          <w:u w:val="none"/>
          <w:rtl/>
          <w:lang w:eastAsia="he-IL"/>
        </w:rPr>
      </w:pPr>
      <w:r w:rsidRPr="00A355EC">
        <w:rPr>
          <w:rFonts w:cs="David" w:hint="cs"/>
          <w:b/>
          <w:bCs/>
          <w:color w:val="0070C0"/>
          <w:rtl/>
          <w:lang w:eastAsia="he-IL"/>
        </w:rPr>
        <w:t xml:space="preserve">ניתן ליצור קשר עם הכותבים דרך:  </w:t>
      </w:r>
      <w:hyperlink r:id="rId17" w:history="1">
        <w:r w:rsidRPr="00A355EC">
          <w:rPr>
            <w:rFonts w:cs="David"/>
            <w:b/>
            <w:bCs/>
            <w:color w:val="0070C0"/>
            <w:u w:val="single"/>
            <w:lang w:eastAsia="he-IL"/>
          </w:rPr>
          <w:t>info@eretzhemdah.org</w:t>
        </w:r>
      </w:hyperlink>
      <w:r w:rsidRPr="001141B5">
        <w:rPr>
          <w:rFonts w:cs="David" w:hint="cs"/>
          <w:b/>
          <w:bCs/>
          <w:color w:val="0070C0"/>
          <w:rtl/>
          <w:lang w:eastAsia="he-IL"/>
        </w:rPr>
        <w:t xml:space="preserve">    </w:t>
      </w:r>
      <w:r w:rsidRPr="001141B5">
        <w:rPr>
          <w:rFonts w:hint="cs"/>
          <w:rtl/>
        </w:rPr>
        <w:t xml:space="preserve">  </w:t>
      </w:r>
      <w:bookmarkStart w:id="6" w:name="_Hlk208479624"/>
      <w:r>
        <w:fldChar w:fldCharType="begin"/>
      </w:r>
      <w:r>
        <w:instrText xml:space="preserve"> HYPERLINK "https://www.eretzhemdah.org/content.asp?PageId=8&amp;lang=he" </w:instrText>
      </w:r>
      <w:r>
        <w:fldChar w:fldCharType="separate"/>
      </w:r>
      <w:r w:rsidRPr="00CB4B59">
        <w:rPr>
          <w:rStyle w:val="Hyperlink"/>
          <w:rFonts w:cs="David" w:hint="cs"/>
          <w:b/>
          <w:bCs/>
          <w:sz w:val="23"/>
          <w:szCs w:val="23"/>
          <w:rtl/>
          <w:lang w:eastAsia="he-IL"/>
        </w:rPr>
        <w:t xml:space="preserve">ארץ חמדה – קישור לשיעורי "מורנו" </w:t>
      </w:r>
      <w:proofErr w:type="spellStart"/>
      <w:r w:rsidRPr="00CB4B59">
        <w:rPr>
          <w:rStyle w:val="Hyperlink"/>
          <w:rFonts w:cs="David" w:hint="cs"/>
          <w:b/>
          <w:bCs/>
          <w:sz w:val="23"/>
          <w:szCs w:val="23"/>
          <w:rtl/>
          <w:lang w:eastAsia="he-IL"/>
        </w:rPr>
        <w:t>ביוטיוב</w:t>
      </w:r>
      <w:proofErr w:type="spellEnd"/>
      <w:r>
        <w:rPr>
          <w:rStyle w:val="Hyperlink"/>
          <w:rFonts w:cs="David"/>
          <w:b/>
          <w:bCs/>
          <w:sz w:val="23"/>
          <w:szCs w:val="23"/>
          <w:lang w:eastAsia="he-IL"/>
        </w:rPr>
        <w:fldChar w:fldCharType="end"/>
      </w:r>
      <w:bookmarkEnd w:id="6"/>
    </w:p>
    <w:p w14:paraId="7D7B6EBD" w14:textId="362F0BC6" w:rsidR="001141B5" w:rsidRPr="00A72E9C" w:rsidRDefault="001141B5" w:rsidP="00A72E9C">
      <w:pPr>
        <w:contextualSpacing/>
        <w:rPr>
          <w:rFonts w:cs="David"/>
          <w:color w:val="0000FF"/>
          <w:sz w:val="23"/>
          <w:szCs w:val="23"/>
          <w:rtl/>
          <w:lang w:eastAsia="he-IL"/>
        </w:rPr>
      </w:pPr>
    </w:p>
    <w:tbl>
      <w:tblPr>
        <w:tblStyle w:val="1f8"/>
        <w:tblpPr w:leftFromText="180" w:rightFromText="180" w:vertAnchor="text" w:horzAnchor="margin" w:tblpXSpec="center" w:tblpY="142"/>
        <w:bidiVisual/>
        <w:tblW w:w="10906" w:type="dxa"/>
        <w:tblLook w:val="04A0" w:firstRow="1" w:lastRow="0" w:firstColumn="1" w:lastColumn="0" w:noHBand="0" w:noVBand="1"/>
      </w:tblPr>
      <w:tblGrid>
        <w:gridCol w:w="849"/>
        <w:gridCol w:w="1119"/>
        <w:gridCol w:w="11"/>
        <w:gridCol w:w="136"/>
        <w:gridCol w:w="565"/>
        <w:gridCol w:w="10"/>
        <w:gridCol w:w="1402"/>
        <w:gridCol w:w="149"/>
        <w:gridCol w:w="560"/>
        <w:gridCol w:w="153"/>
        <w:gridCol w:w="709"/>
        <w:gridCol w:w="563"/>
        <w:gridCol w:w="418"/>
        <w:gridCol w:w="582"/>
        <w:gridCol w:w="563"/>
        <w:gridCol w:w="272"/>
        <w:gridCol w:w="149"/>
        <w:gridCol w:w="845"/>
        <w:gridCol w:w="707"/>
        <w:gridCol w:w="856"/>
        <w:gridCol w:w="288"/>
      </w:tblGrid>
      <w:tr w:rsidR="001141B5" w:rsidRPr="005648DA" w14:paraId="0655418D" w14:textId="77777777" w:rsidTr="0073297B">
        <w:tc>
          <w:tcPr>
            <w:tcW w:w="7226" w:type="dxa"/>
            <w:gridSpan w:val="14"/>
            <w:tcBorders>
              <w:top w:val="single" w:sz="4" w:space="0" w:color="auto"/>
              <w:left w:val="single" w:sz="4" w:space="0" w:color="auto"/>
              <w:bottom w:val="nil"/>
              <w:right w:val="nil"/>
            </w:tcBorders>
            <w:vAlign w:val="center"/>
          </w:tcPr>
          <w:p w14:paraId="7167769F" w14:textId="77777777" w:rsidR="001141B5" w:rsidRPr="005648DA" w:rsidRDefault="001141B5" w:rsidP="001141B5">
            <w:pPr>
              <w:contextualSpacing/>
              <w:jc w:val="center"/>
              <w:rPr>
                <w:rFonts w:cs="David"/>
                <w:b/>
                <w:bCs/>
                <w:sz w:val="6"/>
                <w:szCs w:val="6"/>
                <w:u w:val="single"/>
                <w:rtl/>
              </w:rPr>
            </w:pPr>
          </w:p>
          <w:p w14:paraId="293EA7C7" w14:textId="77777777" w:rsidR="001141B5" w:rsidRPr="005648DA" w:rsidRDefault="001141B5" w:rsidP="001141B5">
            <w:pPr>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0" w:type="dxa"/>
            <w:gridSpan w:val="7"/>
            <w:tcBorders>
              <w:top w:val="single" w:sz="4" w:space="0" w:color="auto"/>
              <w:left w:val="nil"/>
              <w:bottom w:val="nil"/>
              <w:right w:val="single" w:sz="4" w:space="0" w:color="auto"/>
            </w:tcBorders>
            <w:vAlign w:val="center"/>
          </w:tcPr>
          <w:p w14:paraId="63B73410" w14:textId="77777777" w:rsidR="001141B5" w:rsidRPr="005648DA" w:rsidRDefault="001141B5" w:rsidP="001141B5">
            <w:pPr>
              <w:contextualSpacing/>
              <w:jc w:val="center"/>
              <w:rPr>
                <w:rFonts w:ascii="Calibri" w:eastAsia="Calibri" w:hAnsi="Calibri" w:cs="David"/>
                <w:b/>
                <w:bCs/>
                <w:color w:val="0070C0"/>
                <w:sz w:val="19"/>
                <w:szCs w:val="19"/>
                <w:rtl/>
              </w:rPr>
            </w:pPr>
            <w:r w:rsidRPr="005648DA">
              <w:rPr>
                <w:rFonts w:cs="David" w:hint="cs"/>
                <w:b/>
                <w:bCs/>
                <w:color w:val="0070C0"/>
                <w:sz w:val="19"/>
                <w:szCs w:val="19"/>
                <w:rtl/>
              </w:rPr>
              <w:t>החייל, איתמר חיים בן ציפי ציפורה</w:t>
            </w:r>
          </w:p>
        </w:tc>
      </w:tr>
      <w:tr w:rsidR="001141B5" w:rsidRPr="005648DA" w14:paraId="6635B12E" w14:textId="77777777" w:rsidTr="0073297B">
        <w:tc>
          <w:tcPr>
            <w:tcW w:w="1968" w:type="dxa"/>
            <w:gridSpan w:val="2"/>
            <w:tcBorders>
              <w:top w:val="nil"/>
              <w:left w:val="single" w:sz="4" w:space="0" w:color="auto"/>
              <w:bottom w:val="nil"/>
              <w:right w:val="nil"/>
            </w:tcBorders>
            <w:vAlign w:val="center"/>
          </w:tcPr>
          <w:p w14:paraId="0FC07BBE" w14:textId="3E358C17" w:rsidR="001141B5" w:rsidRPr="005648DA" w:rsidRDefault="004A6FF9" w:rsidP="001141B5">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6" w:type="dxa"/>
            <w:gridSpan w:val="8"/>
            <w:tcBorders>
              <w:top w:val="nil"/>
              <w:left w:val="nil"/>
              <w:bottom w:val="nil"/>
              <w:right w:val="nil"/>
            </w:tcBorders>
            <w:vAlign w:val="center"/>
          </w:tcPr>
          <w:p w14:paraId="6657E05E"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544766C4"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523E4744"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8" w:type="dxa"/>
            <w:tcBorders>
              <w:top w:val="nil"/>
              <w:left w:val="nil"/>
              <w:bottom w:val="nil"/>
              <w:right w:val="single" w:sz="4" w:space="0" w:color="auto"/>
            </w:tcBorders>
            <w:vAlign w:val="center"/>
          </w:tcPr>
          <w:p w14:paraId="3A40E248" w14:textId="77777777" w:rsidR="001141B5" w:rsidRPr="005648DA" w:rsidRDefault="001141B5" w:rsidP="001141B5">
            <w:pPr>
              <w:spacing w:line="252" w:lineRule="auto"/>
              <w:contextualSpacing/>
              <w:jc w:val="center"/>
              <w:rPr>
                <w:rFonts w:cs="David"/>
                <w:b/>
                <w:bCs/>
                <w:color w:val="0070C0"/>
                <w:sz w:val="19"/>
                <w:szCs w:val="19"/>
              </w:rPr>
            </w:pPr>
          </w:p>
        </w:tc>
      </w:tr>
      <w:tr w:rsidR="001141B5" w:rsidRPr="005648DA" w14:paraId="0504D26C" w14:textId="77777777" w:rsidTr="0073297B">
        <w:tc>
          <w:tcPr>
            <w:tcW w:w="849" w:type="dxa"/>
            <w:tcBorders>
              <w:top w:val="nil"/>
              <w:left w:val="single" w:sz="4" w:space="0" w:color="auto"/>
              <w:bottom w:val="nil"/>
              <w:right w:val="nil"/>
            </w:tcBorders>
            <w:vAlign w:val="center"/>
          </w:tcPr>
          <w:p w14:paraId="34DB276D" w14:textId="6F043BD2" w:rsidR="001141B5" w:rsidRPr="005648DA" w:rsidRDefault="001141B5" w:rsidP="001141B5">
            <w:pPr>
              <w:spacing w:line="276" w:lineRule="auto"/>
              <w:contextualSpacing/>
              <w:jc w:val="center"/>
              <w:rPr>
                <w:rFonts w:cs="David"/>
                <w:b/>
                <w:bCs/>
                <w:color w:val="0070C0"/>
                <w:sz w:val="19"/>
                <w:szCs w:val="19"/>
                <w:rtl/>
              </w:rPr>
            </w:pPr>
          </w:p>
        </w:tc>
        <w:tc>
          <w:tcPr>
            <w:tcW w:w="1841" w:type="dxa"/>
            <w:gridSpan w:val="5"/>
            <w:tcBorders>
              <w:top w:val="nil"/>
              <w:left w:val="nil"/>
              <w:bottom w:val="nil"/>
              <w:right w:val="nil"/>
            </w:tcBorders>
            <w:vAlign w:val="center"/>
          </w:tcPr>
          <w:p w14:paraId="568441C9"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2111" w:type="dxa"/>
            <w:gridSpan w:val="3"/>
            <w:tcBorders>
              <w:top w:val="nil"/>
              <w:left w:val="nil"/>
              <w:bottom w:val="nil"/>
              <w:right w:val="nil"/>
            </w:tcBorders>
            <w:vAlign w:val="center"/>
          </w:tcPr>
          <w:p w14:paraId="2ADC96E9" w14:textId="77777777" w:rsidR="001141B5" w:rsidRPr="005648DA" w:rsidRDefault="001141B5" w:rsidP="001141B5">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4"/>
            <w:tcBorders>
              <w:top w:val="nil"/>
              <w:left w:val="nil"/>
              <w:bottom w:val="nil"/>
              <w:right w:val="nil"/>
            </w:tcBorders>
            <w:vAlign w:val="center"/>
          </w:tcPr>
          <w:p w14:paraId="6B9628C8"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8" w:type="dxa"/>
            <w:gridSpan w:val="6"/>
            <w:tcBorders>
              <w:top w:val="nil"/>
              <w:left w:val="nil"/>
              <w:bottom w:val="nil"/>
              <w:right w:val="nil"/>
            </w:tcBorders>
            <w:vAlign w:val="center"/>
          </w:tcPr>
          <w:p w14:paraId="7AA76D13"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44" w:type="dxa"/>
            <w:gridSpan w:val="2"/>
            <w:tcBorders>
              <w:top w:val="nil"/>
              <w:left w:val="nil"/>
              <w:bottom w:val="nil"/>
              <w:right w:val="single" w:sz="4" w:space="0" w:color="auto"/>
            </w:tcBorders>
            <w:vAlign w:val="center"/>
          </w:tcPr>
          <w:p w14:paraId="04106BD1"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1141B5" w:rsidRPr="005648DA" w14:paraId="19A09550" w14:textId="77777777" w:rsidTr="0073297B">
        <w:tc>
          <w:tcPr>
            <w:tcW w:w="1979" w:type="dxa"/>
            <w:gridSpan w:val="3"/>
            <w:tcBorders>
              <w:top w:val="nil"/>
              <w:left w:val="single" w:sz="4" w:space="0" w:color="auto"/>
              <w:bottom w:val="nil"/>
              <w:right w:val="nil"/>
            </w:tcBorders>
            <w:vAlign w:val="center"/>
          </w:tcPr>
          <w:p w14:paraId="25093421"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3" w:type="dxa"/>
            <w:gridSpan w:val="4"/>
            <w:tcBorders>
              <w:top w:val="nil"/>
              <w:left w:val="nil"/>
              <w:bottom w:val="nil"/>
              <w:right w:val="nil"/>
            </w:tcBorders>
            <w:vAlign w:val="center"/>
          </w:tcPr>
          <w:p w14:paraId="6D21A6FC"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3F0FF8F3" w14:textId="5EA3EC37" w:rsidR="001141B5" w:rsidRPr="005648DA" w:rsidRDefault="004A6FF9" w:rsidP="001141B5">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62CE4F3A" w14:textId="74B27E99" w:rsidR="001141B5" w:rsidRPr="005648DA" w:rsidRDefault="004A6FF9" w:rsidP="004A6FF9">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4"/>
            <w:tcBorders>
              <w:top w:val="nil"/>
              <w:left w:val="nil"/>
              <w:bottom w:val="nil"/>
              <w:right w:val="nil"/>
            </w:tcBorders>
            <w:vAlign w:val="center"/>
          </w:tcPr>
          <w:p w14:paraId="1FC252D1"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1" w:type="dxa"/>
            <w:gridSpan w:val="3"/>
            <w:tcBorders>
              <w:top w:val="nil"/>
              <w:left w:val="nil"/>
              <w:bottom w:val="nil"/>
              <w:right w:val="single" w:sz="4" w:space="0" w:color="auto"/>
            </w:tcBorders>
            <w:vAlign w:val="center"/>
          </w:tcPr>
          <w:p w14:paraId="7CEFE13B"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1141B5" w:rsidRPr="005648DA" w14:paraId="1554105E" w14:textId="77777777" w:rsidTr="0073297B">
        <w:tc>
          <w:tcPr>
            <w:tcW w:w="2115" w:type="dxa"/>
            <w:gridSpan w:val="4"/>
            <w:tcBorders>
              <w:top w:val="nil"/>
              <w:left w:val="single" w:sz="4" w:space="0" w:color="auto"/>
              <w:bottom w:val="nil"/>
              <w:right w:val="nil"/>
            </w:tcBorders>
            <w:vAlign w:val="center"/>
          </w:tcPr>
          <w:p w14:paraId="408CE1B9"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77BC50DE" w14:textId="2FAB0070" w:rsidR="001141B5" w:rsidRPr="005648DA" w:rsidRDefault="004A6FF9"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4"/>
            <w:tcBorders>
              <w:top w:val="nil"/>
              <w:left w:val="nil"/>
              <w:bottom w:val="nil"/>
              <w:right w:val="nil"/>
            </w:tcBorders>
            <w:vAlign w:val="center"/>
          </w:tcPr>
          <w:p w14:paraId="0E774C9D" w14:textId="6C78BD54" w:rsidR="001141B5" w:rsidRPr="005648DA" w:rsidRDefault="004A6FF9" w:rsidP="001141B5">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5"/>
            <w:tcBorders>
              <w:top w:val="nil"/>
              <w:left w:val="nil"/>
              <w:bottom w:val="nil"/>
              <w:right w:val="nil"/>
            </w:tcBorders>
            <w:vAlign w:val="center"/>
          </w:tcPr>
          <w:p w14:paraId="11C2CF2C" w14:textId="2FD23A35" w:rsidR="001141B5" w:rsidRPr="005648DA" w:rsidRDefault="004A6FF9" w:rsidP="001141B5">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79927DEF"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8" w:type="dxa"/>
            <w:tcBorders>
              <w:top w:val="nil"/>
              <w:left w:val="nil"/>
              <w:bottom w:val="nil"/>
              <w:right w:val="single" w:sz="4" w:space="0" w:color="auto"/>
            </w:tcBorders>
            <w:vAlign w:val="center"/>
          </w:tcPr>
          <w:p w14:paraId="03F62773" w14:textId="77777777" w:rsidR="001141B5" w:rsidRPr="005648DA" w:rsidRDefault="001141B5" w:rsidP="001141B5">
            <w:pPr>
              <w:spacing w:line="276" w:lineRule="auto"/>
              <w:contextualSpacing/>
              <w:jc w:val="center"/>
              <w:rPr>
                <w:rFonts w:cs="David"/>
                <w:b/>
                <w:bCs/>
                <w:color w:val="0070C0"/>
                <w:sz w:val="19"/>
                <w:szCs w:val="19"/>
                <w:rtl/>
              </w:rPr>
            </w:pPr>
          </w:p>
        </w:tc>
      </w:tr>
      <w:tr w:rsidR="001141B5" w:rsidRPr="005648DA" w14:paraId="63F37F9A" w14:textId="77777777" w:rsidTr="0073297B">
        <w:tc>
          <w:tcPr>
            <w:tcW w:w="2680" w:type="dxa"/>
            <w:gridSpan w:val="5"/>
            <w:tcBorders>
              <w:top w:val="nil"/>
              <w:left w:val="single" w:sz="4" w:space="0" w:color="auto"/>
              <w:bottom w:val="single" w:sz="4" w:space="0" w:color="auto"/>
              <w:right w:val="nil"/>
            </w:tcBorders>
            <w:vAlign w:val="center"/>
          </w:tcPr>
          <w:p w14:paraId="5504925B" w14:textId="176F9B71" w:rsidR="001141B5" w:rsidRPr="005648DA" w:rsidRDefault="001141B5" w:rsidP="001141B5">
            <w:pPr>
              <w:spacing w:line="276" w:lineRule="auto"/>
              <w:contextualSpacing/>
              <w:jc w:val="center"/>
              <w:rPr>
                <w:rFonts w:cs="David"/>
                <w:b/>
                <w:bCs/>
                <w:color w:val="0070C0"/>
                <w:sz w:val="19"/>
                <w:szCs w:val="19"/>
                <w:rtl/>
              </w:rPr>
            </w:pPr>
          </w:p>
        </w:tc>
        <w:tc>
          <w:tcPr>
            <w:tcW w:w="4546" w:type="dxa"/>
            <w:gridSpan w:val="9"/>
            <w:tcBorders>
              <w:top w:val="nil"/>
              <w:left w:val="nil"/>
              <w:bottom w:val="single" w:sz="4" w:space="0" w:color="auto"/>
              <w:right w:val="nil"/>
            </w:tcBorders>
            <w:vAlign w:val="center"/>
          </w:tcPr>
          <w:p w14:paraId="2B6F8D58" w14:textId="77777777" w:rsidR="001141B5" w:rsidRPr="005648DA" w:rsidRDefault="001141B5" w:rsidP="001141B5">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835" w:type="dxa"/>
            <w:gridSpan w:val="2"/>
            <w:tcBorders>
              <w:top w:val="nil"/>
              <w:left w:val="nil"/>
              <w:bottom w:val="single" w:sz="4" w:space="0" w:color="auto"/>
              <w:right w:val="nil"/>
            </w:tcBorders>
            <w:vAlign w:val="center"/>
          </w:tcPr>
          <w:p w14:paraId="718E2C1A" w14:textId="397A9C7D" w:rsidR="001141B5" w:rsidRPr="005648DA" w:rsidRDefault="001141B5" w:rsidP="001141B5">
            <w:pPr>
              <w:spacing w:line="276" w:lineRule="auto"/>
              <w:ind w:firstLine="21"/>
              <w:contextualSpacing/>
              <w:jc w:val="center"/>
              <w:rPr>
                <w:rFonts w:ascii="Calibri" w:eastAsia="Calibri" w:hAnsi="Calibri" w:cs="David"/>
                <w:b/>
                <w:bCs/>
                <w:color w:val="0070C0"/>
                <w:sz w:val="19"/>
                <w:szCs w:val="19"/>
                <w:rtl/>
              </w:rPr>
            </w:pPr>
          </w:p>
        </w:tc>
        <w:tc>
          <w:tcPr>
            <w:tcW w:w="2845" w:type="dxa"/>
            <w:gridSpan w:val="5"/>
            <w:tcBorders>
              <w:top w:val="nil"/>
              <w:left w:val="nil"/>
              <w:bottom w:val="single" w:sz="4" w:space="0" w:color="auto"/>
              <w:right w:val="single" w:sz="4" w:space="0" w:color="auto"/>
            </w:tcBorders>
            <w:vAlign w:val="center"/>
          </w:tcPr>
          <w:p w14:paraId="763ED80E" w14:textId="2C5607B9" w:rsidR="001141B5" w:rsidRPr="005648DA" w:rsidRDefault="00AA2A76" w:rsidP="001141B5">
            <w:pPr>
              <w:spacing w:line="276" w:lineRule="auto"/>
              <w:contextualSpacing/>
              <w:jc w:val="center"/>
              <w:rPr>
                <w:rFonts w:cs="David"/>
                <w:b/>
                <w:bCs/>
                <w:color w:val="0070C0"/>
                <w:sz w:val="19"/>
                <w:szCs w:val="19"/>
                <w:rtl/>
              </w:rPr>
            </w:pPr>
            <w:r>
              <w:rPr>
                <w:rFonts w:cs="David" w:hint="cs"/>
                <w:b/>
                <w:bCs/>
                <w:color w:val="0070C0"/>
                <w:sz w:val="19"/>
                <w:szCs w:val="19"/>
                <w:rtl/>
              </w:rPr>
              <w:t>נבו</w:t>
            </w:r>
            <w:r w:rsidR="00601638">
              <w:rPr>
                <w:rFonts w:cs="David" w:hint="cs"/>
                <w:b/>
                <w:bCs/>
                <w:color w:val="0070C0"/>
                <w:sz w:val="19"/>
                <w:szCs w:val="19"/>
                <w:rtl/>
              </w:rPr>
              <w:t xml:space="preserve"> בן </w:t>
            </w:r>
            <w:proofErr w:type="spellStart"/>
            <w:r w:rsidR="00601638">
              <w:rPr>
                <w:rFonts w:cs="David" w:hint="cs"/>
                <w:b/>
                <w:bCs/>
                <w:color w:val="0070C0"/>
                <w:sz w:val="19"/>
                <w:szCs w:val="19"/>
                <w:rtl/>
              </w:rPr>
              <w:t>פריבה</w:t>
            </w:r>
            <w:proofErr w:type="spellEnd"/>
          </w:p>
        </w:tc>
      </w:tr>
    </w:tbl>
    <w:p w14:paraId="45CA4CB6" w14:textId="4849DCC3" w:rsidR="000801C9" w:rsidRPr="00FD222E" w:rsidRDefault="000801C9" w:rsidP="001141B5">
      <w:pPr>
        <w:rPr>
          <w:rFonts w:ascii="David" w:eastAsia="Calibri" w:hAnsi="David" w:cs="David"/>
          <w:sz w:val="12"/>
          <w:szCs w:val="12"/>
          <w:rtl/>
        </w:rPr>
      </w:pPr>
    </w:p>
    <w:bookmarkEnd w:id="0"/>
    <w:bookmarkEnd w:id="5"/>
    <w:p w14:paraId="243C20EE" w14:textId="0CF3BA09" w:rsidR="001141B5" w:rsidRDefault="001141B5" w:rsidP="00601083">
      <w:pPr>
        <w:contextualSpacing/>
        <w:rPr>
          <w:rFonts w:cs="David"/>
          <w:rtl/>
        </w:rPr>
      </w:pPr>
    </w:p>
    <w:p w14:paraId="6103C223" w14:textId="6D56A695" w:rsidR="00A355EC" w:rsidRDefault="00BF1AD8" w:rsidP="00BF1AD8">
      <w:pPr>
        <w:ind w:left="-2" w:firstLine="2"/>
        <w:contextualSpacing/>
        <w:rPr>
          <w:rFonts w:cs="David"/>
          <w:rtl/>
        </w:rPr>
      </w:pPr>
      <w:r w:rsidRPr="003E3AE1">
        <w:rPr>
          <w:rFonts w:cs="David"/>
          <w:noProof/>
          <w:sz w:val="12"/>
          <w:szCs w:val="12"/>
        </w:rPr>
        <w:drawing>
          <wp:anchor distT="0" distB="0" distL="114300" distR="114300" simplePos="0" relativeHeight="251661312" behindDoc="1" locked="0" layoutInCell="1" allowOverlap="1" wp14:anchorId="3DC5E2B4" wp14:editId="53120D9A">
            <wp:simplePos x="0" y="0"/>
            <wp:positionH relativeFrom="margin">
              <wp:posOffset>3509645</wp:posOffset>
            </wp:positionH>
            <wp:positionV relativeFrom="paragraph">
              <wp:posOffset>140335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0F27A4" w14:textId="7EC1D6B4" w:rsidR="000801C9" w:rsidRDefault="000801C9" w:rsidP="00601083">
      <w:pPr>
        <w:contextualSpacing/>
        <w:rPr>
          <w:rFonts w:cs="David"/>
          <w:rtl/>
        </w:rPr>
      </w:pPr>
    </w:p>
    <w:p w14:paraId="7748D72C" w14:textId="6ED02600" w:rsidR="00252659" w:rsidRDefault="00252659" w:rsidP="00601083">
      <w:pPr>
        <w:contextualSpacing/>
        <w:rPr>
          <w:rFonts w:cs="David"/>
          <w:rtl/>
        </w:rPr>
      </w:pPr>
    </w:p>
    <w:p w14:paraId="0A7EAD60" w14:textId="6C94ADA2" w:rsidR="00E72230" w:rsidRDefault="00E72230" w:rsidP="00601083">
      <w:pPr>
        <w:contextualSpacing/>
        <w:rPr>
          <w:rFonts w:cs="David"/>
          <w:rtl/>
        </w:rPr>
      </w:pPr>
    </w:p>
    <w:p w14:paraId="5E2C16A1" w14:textId="77777777" w:rsidR="00C95FFE" w:rsidRPr="00C95FFE" w:rsidRDefault="00C95FFE" w:rsidP="00C95FFE">
      <w:pPr>
        <w:keepNext/>
        <w:contextualSpacing/>
        <w:outlineLvl w:val="0"/>
        <w:rPr>
          <w:rFonts w:ascii="David" w:hAnsi="David" w:cs="David"/>
          <w:noProof/>
          <w:rtl/>
          <w:lang w:eastAsia="he-IL"/>
        </w:rPr>
      </w:pPr>
      <w:r w:rsidRPr="00C95FFE">
        <w:rPr>
          <w:rFonts w:ascii="David" w:hAnsi="David" w:cs="David" w:hint="cs"/>
          <w:noProof/>
          <w:rtl/>
          <w:lang w:eastAsia="he-IL"/>
        </w:rPr>
        <w:t>(מתוך ח"ה)</w:t>
      </w:r>
    </w:p>
    <w:p w14:paraId="5C6CFB06" w14:textId="77777777" w:rsidR="00C95FFE" w:rsidRPr="00C95FFE" w:rsidRDefault="00C95FFE" w:rsidP="00C95FFE">
      <w:pPr>
        <w:keepNext/>
        <w:contextualSpacing/>
        <w:outlineLvl w:val="0"/>
        <w:rPr>
          <w:rFonts w:ascii="David" w:hAnsi="David" w:cs="David"/>
          <w:noProof/>
          <w:rtl/>
          <w:lang w:eastAsia="he-IL"/>
        </w:rPr>
      </w:pPr>
    </w:p>
    <w:p w14:paraId="5BE6FB88" w14:textId="271A3BFA" w:rsidR="00C95FFE" w:rsidRPr="00C95FFE" w:rsidRDefault="00C95FFE" w:rsidP="00C95FFE">
      <w:pPr>
        <w:keepNext/>
        <w:contextualSpacing/>
        <w:outlineLvl w:val="0"/>
        <w:rPr>
          <w:rFonts w:ascii="David" w:hAnsi="David" w:cs="David"/>
          <w:b/>
          <w:bCs/>
          <w:noProof/>
          <w:sz w:val="32"/>
          <w:szCs w:val="32"/>
          <w:rtl/>
          <w:lang w:eastAsia="he-IL"/>
        </w:rPr>
      </w:pPr>
      <w:r w:rsidRPr="00C95FFE">
        <w:rPr>
          <w:rFonts w:ascii="David" w:hAnsi="David" w:cs="David"/>
          <w:b/>
          <w:bCs/>
          <w:noProof/>
          <w:sz w:val="32"/>
          <w:szCs w:val="32"/>
          <w:rtl/>
          <w:lang w:eastAsia="he-IL"/>
        </w:rPr>
        <w:t>ניו יורק, ארה"ב</w:t>
      </w:r>
      <w:r w:rsidRPr="00C95FFE">
        <w:rPr>
          <w:rFonts w:ascii="David" w:hAnsi="David" w:cs="David"/>
          <w:b/>
          <w:bCs/>
          <w:noProof/>
          <w:sz w:val="32"/>
          <w:szCs w:val="32"/>
          <w:rtl/>
          <w:lang w:eastAsia="he-IL"/>
        </w:rPr>
        <w:tab/>
      </w:r>
      <w:r w:rsidRPr="00C95FFE">
        <w:rPr>
          <w:rFonts w:ascii="David" w:hAnsi="David" w:cs="David"/>
          <w:b/>
          <w:bCs/>
          <w:noProof/>
          <w:sz w:val="32"/>
          <w:szCs w:val="32"/>
          <w:rtl/>
          <w:lang w:eastAsia="he-IL"/>
        </w:rPr>
        <w:tab/>
      </w:r>
      <w:r w:rsidRPr="00C95FFE">
        <w:rPr>
          <w:rFonts w:ascii="David" w:hAnsi="David" w:cs="David"/>
          <w:b/>
          <w:bCs/>
          <w:noProof/>
          <w:sz w:val="32"/>
          <w:szCs w:val="32"/>
          <w:rtl/>
          <w:lang w:eastAsia="he-IL"/>
        </w:rPr>
        <w:tab/>
      </w:r>
      <w:r w:rsidRPr="00C95FFE">
        <w:rPr>
          <w:rFonts w:ascii="David" w:hAnsi="David" w:cs="David"/>
          <w:b/>
          <w:bCs/>
          <w:noProof/>
          <w:sz w:val="32"/>
          <w:szCs w:val="32"/>
          <w:rtl/>
          <w:lang w:eastAsia="he-IL"/>
        </w:rPr>
        <w:tab/>
      </w:r>
      <w:r w:rsidRPr="00C95FFE">
        <w:rPr>
          <w:rFonts w:ascii="David" w:hAnsi="David" w:cs="David"/>
          <w:b/>
          <w:bCs/>
          <w:noProof/>
          <w:sz w:val="32"/>
          <w:szCs w:val="32"/>
          <w:rtl/>
          <w:lang w:eastAsia="he-IL"/>
        </w:rPr>
        <w:tab/>
      </w:r>
      <w:r w:rsidRPr="00C95FFE">
        <w:rPr>
          <w:rFonts w:ascii="David" w:hAnsi="David" w:cs="David"/>
          <w:b/>
          <w:bCs/>
          <w:noProof/>
          <w:sz w:val="32"/>
          <w:szCs w:val="32"/>
          <w:rtl/>
          <w:lang w:eastAsia="he-IL"/>
        </w:rPr>
        <w:tab/>
      </w:r>
      <w:r w:rsidRPr="00C95FFE">
        <w:rPr>
          <w:rFonts w:ascii="David" w:hAnsi="David" w:cs="David"/>
          <w:b/>
          <w:bCs/>
          <w:noProof/>
          <w:sz w:val="32"/>
          <w:szCs w:val="32"/>
          <w:rtl/>
          <w:lang w:eastAsia="he-IL"/>
        </w:rPr>
        <w:tab/>
      </w:r>
      <w:r w:rsidRPr="00C95FFE">
        <w:rPr>
          <w:rFonts w:ascii="David" w:hAnsi="David" w:cs="David"/>
          <w:b/>
          <w:bCs/>
          <w:noProof/>
          <w:sz w:val="32"/>
          <w:szCs w:val="32"/>
          <w:rtl/>
          <w:lang w:eastAsia="he-IL"/>
        </w:rPr>
        <w:tab/>
      </w:r>
      <w:r w:rsidRPr="00C95FFE">
        <w:rPr>
          <w:rFonts w:ascii="David" w:hAnsi="David" w:cs="David" w:hint="cs"/>
          <w:b/>
          <w:bCs/>
          <w:noProof/>
          <w:sz w:val="32"/>
          <w:szCs w:val="32"/>
          <w:rtl/>
          <w:lang w:eastAsia="he-IL"/>
        </w:rPr>
        <w:t xml:space="preserve">      </w:t>
      </w:r>
      <w:r>
        <w:rPr>
          <w:rFonts w:ascii="David" w:hAnsi="David" w:cs="David"/>
          <w:b/>
          <w:bCs/>
          <w:noProof/>
          <w:sz w:val="32"/>
          <w:szCs w:val="32"/>
          <w:rtl/>
          <w:lang w:eastAsia="he-IL"/>
        </w:rPr>
        <w:tab/>
      </w:r>
      <w:r>
        <w:rPr>
          <w:rFonts w:ascii="David" w:hAnsi="David" w:cs="David"/>
          <w:b/>
          <w:bCs/>
          <w:noProof/>
          <w:sz w:val="32"/>
          <w:szCs w:val="32"/>
          <w:rtl/>
          <w:lang w:eastAsia="he-IL"/>
        </w:rPr>
        <w:tab/>
      </w:r>
      <w:r w:rsidRPr="00C95FFE">
        <w:rPr>
          <w:rFonts w:ascii="David" w:hAnsi="David" w:cs="David" w:hint="cs"/>
          <w:b/>
          <w:bCs/>
          <w:noProof/>
          <w:sz w:val="32"/>
          <w:szCs w:val="32"/>
          <w:rtl/>
          <w:lang w:eastAsia="he-IL"/>
        </w:rPr>
        <w:t xml:space="preserve">   </w:t>
      </w:r>
      <w:r w:rsidRPr="00C95FFE">
        <w:rPr>
          <w:rFonts w:ascii="David" w:hAnsi="David" w:cs="David"/>
          <w:b/>
          <w:bCs/>
          <w:noProof/>
          <w:sz w:val="32"/>
          <w:szCs w:val="32"/>
          <w:lang w:eastAsia="he-IL"/>
        </w:rPr>
        <w:t>New York, USA</w:t>
      </w:r>
    </w:p>
    <w:p w14:paraId="474C6EE4" w14:textId="77777777" w:rsidR="00C95FFE" w:rsidRPr="00C95FFE" w:rsidRDefault="00C95FFE" w:rsidP="00C95FFE">
      <w:pPr>
        <w:keepNext/>
        <w:contextualSpacing/>
        <w:outlineLvl w:val="1"/>
        <w:rPr>
          <w:rFonts w:ascii="David" w:hAnsi="David" w:cs="David"/>
          <w:noProof/>
          <w:rtl/>
          <w:lang w:eastAsia="he-IL"/>
        </w:rPr>
      </w:pPr>
      <w:r w:rsidRPr="00C95FFE">
        <w:rPr>
          <w:rFonts w:ascii="David" w:hAnsi="David" w:cs="David"/>
          <w:noProof/>
          <w:rtl/>
          <w:lang w:eastAsia="he-IL"/>
        </w:rPr>
        <w:t>סיוון תש"ס</w:t>
      </w:r>
    </w:p>
    <w:p w14:paraId="5A46FC8A" w14:textId="77777777" w:rsidR="00C95FFE" w:rsidRPr="00C95FFE" w:rsidRDefault="00C95FFE" w:rsidP="00C95FFE">
      <w:pPr>
        <w:contextualSpacing/>
        <w:rPr>
          <w:rFonts w:cs="David"/>
          <w:noProof/>
          <w:szCs w:val="28"/>
          <w:rtl/>
          <w:lang w:eastAsia="he-IL"/>
        </w:rPr>
      </w:pPr>
    </w:p>
    <w:p w14:paraId="7053208F" w14:textId="77777777" w:rsidR="00C95FFE" w:rsidRPr="00C95FFE" w:rsidRDefault="00C95FFE" w:rsidP="00C95FFE">
      <w:pPr>
        <w:contextualSpacing/>
        <w:rPr>
          <w:rFonts w:ascii="David" w:hAnsi="David" w:cs="David"/>
          <w:b/>
          <w:bCs/>
          <w:color w:val="0070C0"/>
          <w:kern w:val="2"/>
          <w:sz w:val="30"/>
          <w:szCs w:val="30"/>
          <w:rtl/>
          <w14:ligatures w14:val="standardContextual"/>
        </w:rPr>
      </w:pPr>
      <w:r w:rsidRPr="00C95FFE">
        <w:rPr>
          <w:rFonts w:ascii="David" w:hAnsi="David" w:cs="David"/>
          <w:b/>
          <w:bCs/>
          <w:color w:val="0070C0"/>
          <w:kern w:val="2"/>
          <w:sz w:val="30"/>
          <w:szCs w:val="30"/>
          <w:rtl/>
          <w14:ligatures w14:val="standardContextual"/>
        </w:rPr>
        <w:t>טיסה מזרחה ביום שישי אחר הצהריים החוצה את קו התאריך בשבת</w:t>
      </w:r>
    </w:p>
    <w:p w14:paraId="4014F367" w14:textId="77777777" w:rsidR="00C95FFE" w:rsidRPr="00C95FFE" w:rsidRDefault="00C95FFE" w:rsidP="00C95FFE">
      <w:pPr>
        <w:contextualSpacing/>
        <w:rPr>
          <w:rFonts w:ascii="David" w:hAnsi="David" w:cs="David"/>
          <w:b/>
          <w:bCs/>
          <w:noProof/>
          <w:rtl/>
          <w:lang w:eastAsia="he-IL"/>
        </w:rPr>
      </w:pPr>
    </w:p>
    <w:p w14:paraId="7ECA8E28" w14:textId="77777777" w:rsidR="00C95FFE" w:rsidRPr="00C95FFE" w:rsidRDefault="00C95FFE" w:rsidP="00C95FFE">
      <w:pPr>
        <w:contextualSpacing/>
        <w:rPr>
          <w:rFonts w:ascii="David" w:hAnsi="David" w:cs="David"/>
          <w:b/>
          <w:bCs/>
          <w:noProof/>
          <w:sz w:val="26"/>
          <w:szCs w:val="26"/>
          <w:rtl/>
          <w:lang w:eastAsia="he-IL"/>
        </w:rPr>
      </w:pPr>
      <w:r w:rsidRPr="00C95FFE">
        <w:rPr>
          <w:rFonts w:ascii="David" w:hAnsi="David" w:cs="David"/>
          <w:b/>
          <w:bCs/>
          <w:noProof/>
          <w:sz w:val="26"/>
          <w:szCs w:val="26"/>
          <w:rtl/>
          <w:lang w:eastAsia="he-IL"/>
        </w:rPr>
        <w:t>שאלה</w:t>
      </w:r>
    </w:p>
    <w:p w14:paraId="3BBC8945" w14:textId="77777777" w:rsidR="00C95FFE" w:rsidRPr="00C95FFE" w:rsidRDefault="00C95FFE" w:rsidP="00C95FFE">
      <w:pPr>
        <w:contextualSpacing/>
        <w:rPr>
          <w:rFonts w:ascii="David" w:hAnsi="David" w:cs="David"/>
          <w:noProof/>
          <w:rtl/>
          <w:lang w:eastAsia="he-IL"/>
        </w:rPr>
      </w:pPr>
      <w:r w:rsidRPr="00C95FFE">
        <w:rPr>
          <w:rFonts w:ascii="David" w:hAnsi="David" w:cs="David"/>
          <w:noProof/>
          <w:rtl/>
          <w:lang w:eastAsia="he-IL"/>
        </w:rPr>
        <w:t xml:space="preserve">ביום שישי יוצאת טיסה מטוקיו לניו יורק בשעה 12:00 בצהריים. בגלל מעבר קו התאריך הטיסה מגיעה לניו יורק ביום שישי בשעה 11:00 לפני הצהריים. עד המעבר של קו התאריך יתכן וחלק מהזמן המטוס יטוס בשבת, לפי מקום היציאה ולפי מיקומו של המטוס ביחס לפני הקרקע. </w:t>
      </w:r>
    </w:p>
    <w:p w14:paraId="4AEAF5E8" w14:textId="77777777" w:rsidR="00C95FFE" w:rsidRPr="00C95FFE" w:rsidRDefault="00C95FFE" w:rsidP="00C95FFE">
      <w:pPr>
        <w:contextualSpacing/>
        <w:rPr>
          <w:rFonts w:ascii="David" w:hAnsi="David" w:cs="David"/>
          <w:noProof/>
          <w:rtl/>
          <w:lang w:eastAsia="he-IL"/>
        </w:rPr>
      </w:pPr>
      <w:r w:rsidRPr="00C95FFE">
        <w:rPr>
          <w:rFonts w:ascii="David" w:hAnsi="David" w:cs="David"/>
          <w:noProof/>
          <w:rtl/>
          <w:lang w:eastAsia="he-IL"/>
        </w:rPr>
        <w:t xml:space="preserve">האם מותר לטוס בטיסה זו ואם כן האם יש מגבלות כל שהן בנוגע לטיסה וההתנהגות בה.  </w:t>
      </w:r>
    </w:p>
    <w:p w14:paraId="32E896F4" w14:textId="77777777" w:rsidR="00C95FFE" w:rsidRPr="00C95FFE" w:rsidRDefault="00C95FFE" w:rsidP="00C95FFE">
      <w:pPr>
        <w:contextualSpacing/>
        <w:rPr>
          <w:rFonts w:ascii="David" w:hAnsi="David" w:cs="David"/>
          <w:noProof/>
          <w:rtl/>
          <w:lang w:eastAsia="he-IL"/>
        </w:rPr>
      </w:pPr>
    </w:p>
    <w:p w14:paraId="1FF3E808" w14:textId="77777777" w:rsidR="00C95FFE" w:rsidRPr="00C95FFE" w:rsidRDefault="00C95FFE" w:rsidP="00C95FFE">
      <w:pPr>
        <w:contextualSpacing/>
        <w:rPr>
          <w:rFonts w:ascii="David" w:hAnsi="David" w:cs="David"/>
          <w:noProof/>
          <w:rtl/>
          <w:lang w:eastAsia="he-IL"/>
        </w:rPr>
      </w:pPr>
      <w:r w:rsidRPr="00C95FFE">
        <w:rPr>
          <w:rFonts w:ascii="David" w:hAnsi="David" w:cs="David"/>
          <w:b/>
          <w:bCs/>
          <w:noProof/>
          <w:sz w:val="26"/>
          <w:szCs w:val="26"/>
          <w:rtl/>
          <w:lang w:eastAsia="he-IL"/>
        </w:rPr>
        <w:t>תשובה</w:t>
      </w:r>
      <w:r w:rsidRPr="00C95FFE">
        <w:rPr>
          <w:rFonts w:ascii="David" w:hAnsi="David" w:cs="David"/>
          <w:noProof/>
          <w:sz w:val="26"/>
          <w:szCs w:val="26"/>
          <w:rtl/>
          <w:lang w:eastAsia="he-IL"/>
        </w:rPr>
        <w:br/>
      </w:r>
      <w:r w:rsidRPr="00C95FFE">
        <w:rPr>
          <w:rFonts w:ascii="David" w:hAnsi="David" w:cs="David"/>
          <w:noProof/>
          <w:rtl/>
          <w:lang w:eastAsia="he-IL"/>
        </w:rPr>
        <w:t>מעיקר הדין מותר לו לאדם לעלות לפני שבת</w:t>
      </w:r>
      <w:r w:rsidRPr="00C95FFE">
        <w:rPr>
          <w:rFonts w:ascii="David" w:hAnsi="David" w:cs="David" w:hint="cs"/>
          <w:noProof/>
          <w:vertAlign w:val="superscript"/>
          <w:rtl/>
          <w:lang w:eastAsia="he-IL"/>
        </w:rPr>
        <w:t>1</w:t>
      </w:r>
      <w:r w:rsidRPr="00C95FFE">
        <w:rPr>
          <w:rFonts w:ascii="David" w:hAnsi="David" w:cs="David"/>
          <w:noProof/>
          <w:rtl/>
          <w:lang w:eastAsia="he-IL"/>
        </w:rPr>
        <w:t xml:space="preserve"> על טיסה זו, ובפרט לאיש עסקים</w:t>
      </w:r>
      <w:r w:rsidRPr="00C95FFE">
        <w:rPr>
          <w:rFonts w:ascii="David" w:hAnsi="David" w:cs="David" w:hint="cs"/>
          <w:noProof/>
          <w:vertAlign w:val="superscript"/>
          <w:rtl/>
          <w:lang w:eastAsia="he-IL"/>
        </w:rPr>
        <w:t>2</w:t>
      </w:r>
      <w:r w:rsidRPr="00C95FFE">
        <w:rPr>
          <w:rFonts w:ascii="David" w:hAnsi="David" w:cs="David"/>
          <w:noProof/>
          <w:rtl/>
          <w:lang w:eastAsia="he-IL"/>
        </w:rPr>
        <w:t>. והדבר מותר גם אם הטיסה תמשך כאשר הוא טס מעל למקום שבו השבת נכנסת או כבר נכנסה</w:t>
      </w:r>
      <w:r w:rsidRPr="00C95FFE">
        <w:rPr>
          <w:rFonts w:ascii="David" w:hAnsi="David" w:cs="David" w:hint="cs"/>
          <w:noProof/>
          <w:vertAlign w:val="superscript"/>
          <w:rtl/>
          <w:lang w:eastAsia="he-IL"/>
        </w:rPr>
        <w:t>3</w:t>
      </w:r>
      <w:r w:rsidRPr="00C95FFE">
        <w:rPr>
          <w:rFonts w:ascii="David" w:hAnsi="David" w:cs="David"/>
          <w:noProof/>
          <w:rtl/>
          <w:lang w:eastAsia="he-IL"/>
        </w:rPr>
        <w:t>. החל בשעה שבה היה חייב בשמירת שבת</w:t>
      </w:r>
      <w:r w:rsidRPr="00C95FFE">
        <w:rPr>
          <w:rFonts w:ascii="David" w:hAnsi="David" w:cs="David" w:hint="cs"/>
          <w:noProof/>
          <w:vertAlign w:val="superscript"/>
          <w:rtl/>
          <w:lang w:eastAsia="he-IL"/>
        </w:rPr>
        <w:t>4</w:t>
      </w:r>
      <w:r w:rsidRPr="00C95FFE">
        <w:rPr>
          <w:rFonts w:ascii="David" w:hAnsi="David" w:cs="David"/>
          <w:noProof/>
          <w:rtl/>
          <w:lang w:eastAsia="he-IL"/>
        </w:rPr>
        <w:t xml:space="preserve"> ועד לרגע  שהמטוס יעבור את קו התאריך ימנע עצמו מלעשות פעולות שהן בגדר חילול שבת</w:t>
      </w:r>
      <w:r w:rsidRPr="00C95FFE">
        <w:rPr>
          <w:rFonts w:ascii="David" w:hAnsi="David" w:cs="David" w:hint="cs"/>
          <w:noProof/>
          <w:vertAlign w:val="superscript"/>
          <w:rtl/>
          <w:lang w:eastAsia="he-IL"/>
        </w:rPr>
        <w:t>5</w:t>
      </w:r>
      <w:r w:rsidRPr="00C95FFE">
        <w:rPr>
          <w:rFonts w:ascii="David" w:hAnsi="David" w:cs="David"/>
          <w:noProof/>
          <w:rtl/>
          <w:lang w:eastAsia="he-IL"/>
        </w:rPr>
        <w:t>, ואז לא יבקש מאנשי</w:t>
      </w:r>
      <w:r w:rsidRPr="00C95FFE">
        <w:rPr>
          <w:rFonts w:ascii="David" w:hAnsi="David" w:cs="David" w:hint="cs"/>
          <w:noProof/>
          <w:rtl/>
          <w:lang w:eastAsia="he-IL"/>
        </w:rPr>
        <w:t xml:space="preserve"> </w:t>
      </w:r>
      <w:r w:rsidRPr="00C95FFE">
        <w:rPr>
          <w:rFonts w:ascii="David" w:hAnsi="David" w:cs="David"/>
          <w:noProof/>
          <w:rtl/>
          <w:lang w:eastAsia="he-IL"/>
        </w:rPr>
        <w:t>הצוות לבצע עבורו פעולות כאלה</w:t>
      </w:r>
      <w:r w:rsidRPr="00C95FFE">
        <w:rPr>
          <w:rFonts w:ascii="David" w:hAnsi="David" w:cs="David" w:hint="cs"/>
          <w:noProof/>
          <w:vertAlign w:val="superscript"/>
          <w:rtl/>
          <w:lang w:eastAsia="he-IL"/>
        </w:rPr>
        <w:t>6</w:t>
      </w:r>
      <w:r w:rsidRPr="00C95FFE">
        <w:rPr>
          <w:rFonts w:ascii="David" w:hAnsi="David" w:cs="David"/>
          <w:noProof/>
          <w:rtl/>
          <w:lang w:eastAsia="he-IL"/>
        </w:rPr>
        <w:t>.</w:t>
      </w:r>
      <w:r w:rsidRPr="00C95FFE">
        <w:rPr>
          <w:rFonts w:ascii="David" w:hAnsi="David" w:cs="David" w:hint="cs"/>
          <w:noProof/>
          <w:rtl/>
          <w:lang w:eastAsia="he-IL"/>
        </w:rPr>
        <w:t xml:space="preserve"> </w:t>
      </w:r>
      <w:r w:rsidRPr="00C95FFE">
        <w:rPr>
          <w:rFonts w:ascii="David" w:hAnsi="David" w:cs="David"/>
          <w:noProof/>
          <w:rtl/>
          <w:lang w:eastAsia="he-IL"/>
        </w:rPr>
        <w:t>אין כל ספק שמותר לעלות על המטוס אם זה יחצה את "קו התאריך"</w:t>
      </w:r>
      <w:r w:rsidRPr="00C95FFE">
        <w:rPr>
          <w:rFonts w:ascii="David" w:hAnsi="David" w:cs="David" w:hint="cs"/>
          <w:noProof/>
          <w:vertAlign w:val="superscript"/>
          <w:rtl/>
          <w:lang w:eastAsia="he-IL"/>
        </w:rPr>
        <w:t>7</w:t>
      </w:r>
      <w:r w:rsidRPr="00C95FFE">
        <w:rPr>
          <w:rFonts w:ascii="David" w:hAnsi="David" w:cs="David"/>
          <w:noProof/>
          <w:rtl/>
          <w:lang w:eastAsia="he-IL"/>
        </w:rPr>
        <w:t xml:space="preserve"> קודם כניסת השבת.</w:t>
      </w:r>
      <w:r w:rsidRPr="00C95FFE">
        <w:rPr>
          <w:rFonts w:ascii="David" w:hAnsi="David" w:cs="David" w:hint="cs"/>
          <w:noProof/>
          <w:rtl/>
          <w:lang w:eastAsia="he-IL"/>
        </w:rPr>
        <w:t xml:space="preserve"> </w:t>
      </w:r>
      <w:r w:rsidRPr="00C95FFE">
        <w:rPr>
          <w:rFonts w:ascii="David" w:hAnsi="David" w:cs="David"/>
          <w:noProof/>
          <w:rtl/>
          <w:lang w:eastAsia="he-IL"/>
        </w:rPr>
        <w:t>כמבואר בשאלה, כל זה הוא כאשר הנחיתה תהיה במקום בו עדיין לא</w:t>
      </w:r>
      <w:r w:rsidRPr="00C95FFE">
        <w:rPr>
          <w:rFonts w:ascii="David" w:hAnsi="David" w:cs="David" w:hint="cs"/>
          <w:noProof/>
          <w:vertAlign w:val="superscript"/>
          <w:rtl/>
          <w:lang w:eastAsia="he-IL"/>
        </w:rPr>
        <w:t>8</w:t>
      </w:r>
      <w:r w:rsidRPr="00C95FFE">
        <w:rPr>
          <w:rFonts w:ascii="David" w:hAnsi="David" w:cs="David"/>
          <w:noProof/>
          <w:rtl/>
          <w:lang w:eastAsia="he-IL"/>
        </w:rPr>
        <w:t xml:space="preserve"> נכנסה השבת</w:t>
      </w:r>
      <w:r w:rsidRPr="00C95FFE">
        <w:rPr>
          <w:rFonts w:ascii="David" w:hAnsi="David" w:cs="David" w:hint="cs"/>
          <w:noProof/>
          <w:vertAlign w:val="superscript"/>
          <w:rtl/>
          <w:lang w:eastAsia="he-IL"/>
        </w:rPr>
        <w:t>9</w:t>
      </w:r>
      <w:r w:rsidRPr="00C95FFE">
        <w:rPr>
          <w:rFonts w:ascii="David" w:hAnsi="David" w:cs="David"/>
          <w:noProof/>
          <w:rtl/>
          <w:lang w:eastAsia="he-IL"/>
        </w:rPr>
        <w:t>.</w:t>
      </w:r>
    </w:p>
    <w:p w14:paraId="6B194921" w14:textId="77777777" w:rsidR="00C95FFE" w:rsidRPr="00C95FFE" w:rsidRDefault="00C95FFE" w:rsidP="00C95FFE">
      <w:pPr>
        <w:contextualSpacing/>
        <w:rPr>
          <w:rFonts w:ascii="David" w:hAnsi="David" w:cs="David"/>
          <w:noProof/>
          <w:rtl/>
          <w:lang w:eastAsia="he-IL"/>
        </w:rPr>
      </w:pPr>
    </w:p>
    <w:p w14:paraId="4417691B" w14:textId="77777777" w:rsidR="00C95FFE" w:rsidRPr="00C95FFE" w:rsidRDefault="00C95FFE" w:rsidP="00C95FFE">
      <w:pPr>
        <w:contextualSpacing/>
        <w:rPr>
          <w:rFonts w:ascii="David" w:hAnsi="David" w:cs="David"/>
          <w:noProof/>
          <w:sz w:val="10"/>
          <w:szCs w:val="10"/>
          <w:rtl/>
          <w:lang w:eastAsia="he-IL"/>
        </w:rPr>
      </w:pPr>
      <w:r w:rsidRPr="00C95FFE">
        <w:rPr>
          <w:rFonts w:ascii="David" w:hAnsi="David" w:cs="David" w:hint="cs"/>
          <w:noProof/>
          <w:sz w:val="10"/>
          <w:szCs w:val="10"/>
          <w:rtl/>
          <w:lang w:eastAsia="he-IL"/>
        </w:rPr>
        <w:t>_______________________________________________________</w:t>
      </w:r>
    </w:p>
    <w:p w14:paraId="5127FCDC" w14:textId="77777777" w:rsidR="00C95FFE" w:rsidRPr="00C95FFE" w:rsidRDefault="00C95FFE" w:rsidP="00C95FFE">
      <w:pPr>
        <w:contextualSpacing/>
        <w:rPr>
          <w:rFonts w:ascii="David" w:hAnsi="David" w:cs="David"/>
          <w:noProof/>
          <w:sz w:val="10"/>
          <w:szCs w:val="10"/>
          <w:rtl/>
          <w:lang w:eastAsia="he-IL"/>
        </w:rPr>
      </w:pPr>
    </w:p>
    <w:p w14:paraId="061C6BC7"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1</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 xml:space="preserve">במסכת שבת (יט ע"א) מצינו, "אין מפליגין בספינה פחות מג' ימים קודם לשבת. במה דברים אמורים, לדבר הרשות, אבל לדבר מצווה שפיר דמי...". ונחלקו פוסקים  בדבר טעם האיסור, והנחת-היסוד של כולם היא שמדובר בספינה שמונהגת על ידי נכרים.   </w:t>
      </w:r>
    </w:p>
    <w:p w14:paraId="0B5F5B55"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 xml:space="preserve">להלן סיכום השיטות ע"פ המובא ב"משנה ברורה" (בהקדמה לסי' רמח): </w:t>
      </w:r>
    </w:p>
    <w:p w14:paraId="643F7B88"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א.  שיטת "בעל המאור" - החשש הוא שמא יאלץ היהודי לעשות מלאכה לאחר כניסת השבת, מחמת פיקוח נפש ח"ו, שהרי הולך  למקום סכנה.</w:t>
      </w:r>
    </w:p>
    <w:p w14:paraId="7272FE53"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ב.  שיטת רמב"ן - החשש הוא שמא יעשה הגוי מלאכה עבור היהודי המפליג.</w:t>
      </w:r>
    </w:p>
    <w:p w14:paraId="4093A1E6"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ג.  שיטת רבנו חננאל  - בנסיעה בשבת בספינה יש איסור תחומין גם כשאין הנוסע עושה כל מעשה. בספינה שגבוהה מעשרה טפחים מעל לים לא קיים איסור זה (עיין ב"בית יוסף" שם דיון בנושא).</w:t>
      </w:r>
    </w:p>
    <w:p w14:paraId="7AB6D62F"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ד.  שיטת רי"ף - לא יתכן שיש כאן חשש חילול שבת, כי אז גם קודם ג' ימים וגם לצורך מצוה היו  אוסרים, מכיון שמתנה לדחות את השבת, אבל הטעם הוא משום "עונג שבת" - הגוף זקוק לשלושה ימים כדי להתרגל לטלטול בים ולתופעות הלואי שהוא גורם (ועיין שם ההסבר בשיטת החולקים על רי"ף).</w:t>
      </w:r>
    </w:p>
    <w:p w14:paraId="5343BCEA"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ה.  שיטת בעלי התוספות - בשלושת הימים קודם השבת גזרו "שמא יעשה חבית של שייטין", ואם הקפיד לעלות על הספינה שלושה ימים קודם השבת, לא גזרו, כי יש "היכרא" שחושש, ולא גזרו שמא יעבור על איסורי שבת.</w:t>
      </w:r>
    </w:p>
    <w:p w14:paraId="68B32FF4" w14:textId="77777777" w:rsidR="00C95FFE" w:rsidRPr="00C95FFE" w:rsidRDefault="00C95FFE" w:rsidP="00C95FFE">
      <w:pPr>
        <w:ind w:left="226"/>
        <w:rPr>
          <w:rFonts w:ascii="David" w:hAnsi="David" w:cs="David"/>
          <w:noProof/>
          <w:sz w:val="22"/>
          <w:szCs w:val="22"/>
          <w:rtl/>
          <w:lang w:eastAsia="he-IL"/>
        </w:rPr>
      </w:pPr>
      <w:r w:rsidRPr="00C95FFE">
        <w:rPr>
          <w:rFonts w:ascii="David" w:hAnsi="David" w:cs="David"/>
          <w:noProof/>
          <w:sz w:val="22"/>
          <w:szCs w:val="22"/>
          <w:rtl/>
          <w:lang w:eastAsia="he-IL"/>
        </w:rPr>
        <w:lastRenderedPageBreak/>
        <w:t xml:space="preserve">להלכה פסק מרן המחבר כרי"ף והתיר לעלות לספינה אפילו בערב שבת, אם אין חשש תחומין (כלומר בספינה גבוהה ו/או בנהר עמוק) ובמקום שאין חשש של ביטול עונג שבת. לפי זה ודאי שמטוס עדיף, שבו אין כל חשש, כמעט לפי כל השיטות, וגם לגבי איסור תחומין ניתן להקל בצרוף מספר טעמים: </w:t>
      </w:r>
    </w:p>
    <w:p w14:paraId="3D438067"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א.   גם לדעת החולקין,  שיטת המהר"מ שלא נפסק כמותה להלכה עיין הג' מימוניות (רמב"ם הלכות שבת פרק ל אות מ), הסוברים שבעית תחומין למעלה מעשרה היא "בעיא דלא איפשטא" כבר פסק הרמב"ם שכל מחלקותם היא ביבשה ולא בים, ובמקרה דנן הטיסה היא מעל הים.</w:t>
      </w:r>
    </w:p>
    <w:p w14:paraId="61A1C44F"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ב.  גם כשהמטוס טס מעל ליבשה, ניתן להקל - ע"פ פסק רשב"ם (מובא בתוס', עירובין מג ע"א ד"ה הלכה כרבן גמליאל) וזה לשונו: "דמותר להכנס בספינה מבעוד יום בערב שבת אפילו שהספינה הולכת חוץ לתחום בשבת, דספינא ממילא אזלא ואיהו לא מידי עביד, ובלבד שלא יצא חוץ לספינה, והספינה כולה כארבע אמות".  סברה זו הובאה גם בחידושי רמב"ן (שם ד"ה "ומעתה") והובאה להלכה על-ידי  הב"ח (טור, "אורח חיים" סי' רמח). ואע"פ שיש חולקים, במטוס ניתן לצרף זאת כסניף להקל, מה עוד שאין חשש שיצא מן המטוס.</w:t>
      </w:r>
    </w:p>
    <w:p w14:paraId="15F50330"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ג. הגמרא במסכת עירובין (מו ע"א) דנה במושג "מינד ניידי", ונחלקו ראשונים בהסבר העניין, עיין בחידושי הרשב"א (שם) ובחידושי הרמב"ן (דף מג  ע"א ד"ה ועוד נ"ל) והובאו דבריהם ב"ביאור הלכה" (סי' תד ד"ה ממקום שפגע).  לביאור נוסף בעניין עיין שו"ת "ציץ אליעזר" (ח"א סי' כא) שהבין בדעת "ביאור הלכה" שדוקא בספינה, שיש לומר שנחה על פני המים והמים הם אלה שנדים, נחלקו, אך לעניין מטוס כולי עלמא לא פליג שאינו קונה שביתה במקומו, וממילא אין כאן בעית תחומין.</w:t>
      </w:r>
    </w:p>
    <w:p w14:paraId="7387FEE8"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2</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מרן בשו"ע "אורח חיים" (סי'רמח סעיף א) פסק שכל ההיתר לעלות לספינה בערב שבת הוא דוקא, אם הוא הולך לדבר מצוה, אבל רמ"א בסוף הסימן הביא דעת ר"ת "יש אומרים, כל מקום שאדם הולך לסחורה או לראות פני חבירו, חשוב הכל דבר מצוה, ואינו חשוב דבר הרשות רק כשהולך לטייל, ועל כן נהגו בקצת מקומות להקל בעניין הפלגת הספינות... כי חושבים הכל לדבר מצוה. ואין למחות בידן, הואיל ויש להם על מי שיסמוכו".  וכאן מדובר בהפסד יום עסקים, אם נחייבו לצאת יום קודם.</w:t>
      </w:r>
    </w:p>
    <w:p w14:paraId="434B0C82"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3</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אע"פ שהמחבר מוסיף שם תנאי נוסף - "ופוסק עמו שישבות", כלומר שהישראל יתנה מראש עם בעל הספינה הגוי, שהספינה לא תנוע בשבת, כבר נזכר בגמרא שבת (יט ע"א) "ואינו שובת", כלומר אע"פ שברור שלא ישבות, וכבר נפסק להלכה שהוא רק למצוה בעלמא, כמבואר ב"משנה ברורה" (סי' רמח ס"ק ג). והטעם הוא כדי שלא ייראה, שהיהודי מזלזל במצוות השבת, ובנדון דידן זה כלל וכלל לא שייך (ולפי  ה"משנה ברורה" להלכה, במקום שברור שלא ישמע לו, אין צריך כלל להגיד).</w:t>
      </w:r>
    </w:p>
    <w:p w14:paraId="312BA561"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4</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ויכול לסמוך על כך שרוב הטייסים ורוב הנוסעים אינם יהודים, ואם יכול לברר על הטייס – עדיף. עיין שו"ע "אורח חיים" (סי' רעו סע' ב).</w:t>
      </w:r>
    </w:p>
    <w:p w14:paraId="72743F05"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5</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כגון הדלקת המנורות שליד כסאו, הפעלת מערכת הבידור, כניסה לשירותים (הדלקת האור על ע"י נעילת הדלת), אזעקת הדייל על ידי מערכת חשמלית.</w:t>
      </w:r>
    </w:p>
    <w:p w14:paraId="70A29947"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6</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כגון לבקש לחמם אוכל עבורו. ויש מקום לבקש להגיש את הארוחה אחר המעבר על קו התאריך או לבקש את הארוחה קודם כניסת השבת.</w:t>
      </w:r>
    </w:p>
    <w:p w14:paraId="28DF1961" w14:textId="77777777" w:rsidR="00C95FFE" w:rsidRPr="00C95FFE" w:rsidRDefault="00C95FFE" w:rsidP="00C95FFE">
      <w:pPr>
        <w:ind w:left="226"/>
        <w:rPr>
          <w:rFonts w:ascii="David" w:hAnsi="David" w:cs="David"/>
          <w:noProof/>
          <w:sz w:val="22"/>
          <w:szCs w:val="22"/>
          <w:rtl/>
          <w:lang w:eastAsia="he-IL"/>
        </w:rPr>
      </w:pPr>
      <w:r w:rsidRPr="00C95FFE">
        <w:rPr>
          <w:rFonts w:ascii="David" w:hAnsi="David" w:cs="David"/>
          <w:noProof/>
          <w:sz w:val="22"/>
          <w:szCs w:val="22"/>
          <w:rtl/>
          <w:lang w:eastAsia="he-IL"/>
        </w:rPr>
        <w:t>וישנם פוסקים שצידדו להחמיר בעניין זה - עיין "אגרות משה" (אורח חיים ח"ג,  צו) וז"ל:"... ובלא כל זה נמי אין לשומרי תורה ליסע בעראפלאן בשבת, אף אם יכנס לשם בערב שבת ויצא משם אחר השבת</w:t>
      </w:r>
      <w:r w:rsidRPr="00C95FFE">
        <w:rPr>
          <w:rFonts w:ascii="David" w:hAnsi="David" w:cs="David"/>
          <w:noProof/>
          <w:sz w:val="22"/>
          <w:szCs w:val="22"/>
          <w:lang w:eastAsia="he-IL"/>
        </w:rPr>
        <w:t>…</w:t>
      </w:r>
      <w:r w:rsidRPr="00C95FFE">
        <w:rPr>
          <w:rFonts w:ascii="David" w:hAnsi="David" w:cs="David"/>
          <w:noProof/>
          <w:sz w:val="22"/>
          <w:szCs w:val="22"/>
          <w:rtl/>
          <w:lang w:eastAsia="he-IL"/>
        </w:rPr>
        <w:t xml:space="preserve"> "  וכן הוא בשו"ת "מנחת יצחק" (ח"ב סי' קו), שם כתב להחמיר בדבר, בין השאר מטעם שיש הסוברים, שאם נמצא במקום הנוח  להילוך, אע"פ שהוא למעלה מעשרה טפחים נחשב שעומד על הקרקע ("ארעא סמיכתא") וכן מטעם שיש שהכריעו שיש תחומין למעלה מעשרה. ועי"ש עוד באריכות. עיין עוד בהרחבה בענין זה בתשובה הבאה בענין המשך נסיעה ברכב בהגיע זמן כניסת שבת ובהערה 4 שם.</w:t>
      </w:r>
    </w:p>
    <w:p w14:paraId="11DD56F6"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7</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המושג ההלכי "קו תאריך" איננו חופף את המושג "קו התאריך" הבינלאומי. קו התאריך הבינלאומי נקבע באופן שרירותי (תוך התחשבות בשיקולים פרקטיים) 180 מעלות מגריניץ שבאנגליה. קו זה עובר מערבית לחוף המערבי של יבשת אמריקה (בין אלסקה לסיביר), לעומת קו</w:t>
      </w:r>
      <w:r w:rsidRPr="00C95FFE">
        <w:rPr>
          <w:rFonts w:ascii="David" w:hAnsi="David" w:cs="David" w:hint="cs"/>
          <w:noProof/>
          <w:sz w:val="22"/>
          <w:szCs w:val="22"/>
          <w:rtl/>
          <w:lang w:eastAsia="he-IL"/>
        </w:rPr>
        <w:t xml:space="preserve"> </w:t>
      </w:r>
      <w:r w:rsidRPr="00C95FFE">
        <w:rPr>
          <w:rFonts w:ascii="David" w:hAnsi="David" w:cs="David"/>
          <w:noProof/>
          <w:sz w:val="22"/>
          <w:szCs w:val="22"/>
          <w:rtl/>
          <w:lang w:eastAsia="he-IL"/>
        </w:rPr>
        <w:br/>
      </w:r>
      <w:r w:rsidRPr="00C95FFE">
        <w:rPr>
          <w:rFonts w:ascii="David" w:hAnsi="David" w:cs="David" w:hint="cs"/>
          <w:noProof/>
          <w:sz w:val="22"/>
          <w:szCs w:val="22"/>
          <w:rtl/>
          <w:lang w:eastAsia="he-IL"/>
        </w:rPr>
        <w:t xml:space="preserve">התאריך </w:t>
      </w:r>
      <w:r w:rsidRPr="00C95FFE">
        <w:rPr>
          <w:rFonts w:ascii="David" w:hAnsi="David" w:cs="David"/>
          <w:noProof/>
          <w:sz w:val="22"/>
          <w:szCs w:val="22"/>
          <w:rtl/>
          <w:lang w:eastAsia="he-IL"/>
        </w:rPr>
        <w:t>ההלכי שנקבע ע"פ שיקולים אחרים, ונחלקו בשאלה פוסקים.</w:t>
      </w:r>
    </w:p>
    <w:p w14:paraId="735DE219" w14:textId="77777777" w:rsidR="00C95FFE" w:rsidRPr="00C95FFE" w:rsidRDefault="00C95FFE" w:rsidP="00C95FFE">
      <w:pPr>
        <w:ind w:left="226"/>
        <w:rPr>
          <w:rFonts w:ascii="David" w:hAnsi="David" w:cs="David"/>
          <w:noProof/>
          <w:sz w:val="22"/>
          <w:szCs w:val="22"/>
          <w:rtl/>
          <w:lang w:eastAsia="he-IL"/>
        </w:rPr>
      </w:pPr>
      <w:r w:rsidRPr="00C95FFE">
        <w:rPr>
          <w:rFonts w:ascii="David" w:hAnsi="David" w:cs="David"/>
          <w:noProof/>
          <w:sz w:val="22"/>
          <w:szCs w:val="22"/>
          <w:rtl/>
          <w:lang w:eastAsia="he-IL"/>
        </w:rPr>
        <w:t>והרי תמצית שיטותיהם:</w:t>
      </w:r>
    </w:p>
    <w:p w14:paraId="73B7C4E7"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 xml:space="preserve">א. </w:t>
      </w:r>
      <w:r w:rsidRPr="00C95FFE">
        <w:rPr>
          <w:rFonts w:ascii="David" w:hAnsi="David" w:cs="David"/>
          <w:noProof/>
          <w:sz w:val="22"/>
          <w:szCs w:val="22"/>
          <w:rtl/>
          <w:lang w:eastAsia="he-IL"/>
        </w:rPr>
        <w:tab/>
        <w:t>שיטת ה"חזון איש"  -  הקו עובר 90 מעלות מזרחית לקו האורך של ירושלם, ולפי זה הקו עובר במזרחה של סין (מערבית ליפן).</w:t>
      </w:r>
    </w:p>
    <w:p w14:paraId="6C09BA71"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 xml:space="preserve">ב. </w:t>
      </w:r>
      <w:r w:rsidRPr="00C95FFE">
        <w:rPr>
          <w:rFonts w:ascii="David" w:hAnsi="David" w:cs="David"/>
          <w:noProof/>
          <w:sz w:val="22"/>
          <w:szCs w:val="22"/>
          <w:rtl/>
          <w:lang w:eastAsia="he-IL"/>
        </w:rPr>
        <w:tab/>
        <w:t>שיטת הגר"מ טיקוצ'ינסקי - הקו עובר 180 מעלות מזרחית לקו האורך של ירושלם, ולפי זה הוא חוצה את האוקיאנוס השקט  בין יפן לארה"ב ועובר מערבית לאלסקה (לפ"ז קו התאריך הבינלאומי קרוב לקו התאריך ההלכי).</w:t>
      </w:r>
    </w:p>
    <w:p w14:paraId="4C4269E0" w14:textId="77777777" w:rsidR="00C95FFE" w:rsidRPr="00C95FFE" w:rsidRDefault="00C95FFE" w:rsidP="00C95FFE">
      <w:pPr>
        <w:ind w:left="509" w:hanging="283"/>
        <w:rPr>
          <w:rFonts w:ascii="David" w:hAnsi="David" w:cs="David"/>
          <w:noProof/>
          <w:sz w:val="22"/>
          <w:szCs w:val="22"/>
          <w:rtl/>
          <w:lang w:eastAsia="he-IL"/>
        </w:rPr>
      </w:pPr>
      <w:r w:rsidRPr="00C95FFE">
        <w:rPr>
          <w:rFonts w:ascii="David" w:hAnsi="David" w:cs="David"/>
          <w:noProof/>
          <w:sz w:val="22"/>
          <w:szCs w:val="22"/>
          <w:rtl/>
          <w:lang w:eastAsia="he-IL"/>
        </w:rPr>
        <w:t xml:space="preserve">ג.  </w:t>
      </w:r>
      <w:r w:rsidRPr="00C95FFE">
        <w:rPr>
          <w:rFonts w:ascii="David" w:hAnsi="David" w:cs="David"/>
          <w:noProof/>
          <w:sz w:val="22"/>
          <w:szCs w:val="22"/>
          <w:rtl/>
          <w:lang w:eastAsia="he-IL"/>
        </w:rPr>
        <w:tab/>
        <w:t xml:space="preserve">שיטת הגרצ"פ פרנק – אי-אפשר להכריע בשאלת קו התאריך.    </w:t>
      </w:r>
    </w:p>
    <w:p w14:paraId="2AE494B6" w14:textId="77777777" w:rsidR="00C95FFE" w:rsidRPr="00C95FFE" w:rsidRDefault="00C95FFE" w:rsidP="00C95FFE">
      <w:pPr>
        <w:ind w:left="226"/>
        <w:rPr>
          <w:rFonts w:ascii="David" w:hAnsi="David" w:cs="David"/>
          <w:noProof/>
          <w:sz w:val="22"/>
          <w:szCs w:val="22"/>
          <w:rtl/>
          <w:lang w:eastAsia="he-IL"/>
        </w:rPr>
      </w:pPr>
      <w:r w:rsidRPr="00C95FFE">
        <w:rPr>
          <w:rFonts w:ascii="David" w:hAnsi="David" w:cs="David"/>
          <w:noProof/>
          <w:sz w:val="22"/>
          <w:szCs w:val="22"/>
          <w:rtl/>
          <w:lang w:eastAsia="he-IL"/>
        </w:rPr>
        <w:t>נמצא שכל הדיון בשאלה זו הוא רק לשיטות הרב טיקוצ'ינסקי והגרצ"פ פרנק, אבל  לשיטת החזון איש אין כלל בעיה.</w:t>
      </w:r>
    </w:p>
    <w:p w14:paraId="1E29D7E5"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8</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אם הנחיתה תהיה בשבת, יתעוררו בעיות הלכה קשות, ואכמ"ל. על כן אין לעלות לכתחילה על טיסה כזו.</w:t>
      </w:r>
    </w:p>
    <w:p w14:paraId="464C347F" w14:textId="77777777" w:rsidR="00C95FFE" w:rsidRPr="00C95FFE" w:rsidRDefault="00C95FFE" w:rsidP="00C95FFE">
      <w:pPr>
        <w:ind w:left="226" w:hanging="226"/>
        <w:rPr>
          <w:rFonts w:ascii="David" w:hAnsi="David" w:cs="David"/>
          <w:noProof/>
          <w:sz w:val="22"/>
          <w:szCs w:val="22"/>
          <w:rtl/>
          <w:lang w:eastAsia="he-IL"/>
        </w:rPr>
      </w:pPr>
      <w:r w:rsidRPr="00C95FFE">
        <w:rPr>
          <w:rFonts w:ascii="David" w:hAnsi="David" w:cs="David" w:hint="cs"/>
          <w:noProof/>
          <w:sz w:val="22"/>
          <w:szCs w:val="22"/>
          <w:vertAlign w:val="superscript"/>
          <w:rtl/>
          <w:lang w:eastAsia="he-IL"/>
        </w:rPr>
        <w:t>9</w:t>
      </w:r>
      <w:r w:rsidRPr="00C95FFE">
        <w:rPr>
          <w:rFonts w:ascii="David" w:hAnsi="David" w:cs="David"/>
          <w:noProof/>
          <w:sz w:val="22"/>
          <w:szCs w:val="22"/>
          <w:rtl/>
          <w:lang w:eastAsia="he-IL"/>
        </w:rPr>
        <w:t xml:space="preserve"> </w:t>
      </w:r>
      <w:r w:rsidRPr="00C95FFE">
        <w:rPr>
          <w:rFonts w:ascii="David" w:hAnsi="David" w:cs="David"/>
          <w:noProof/>
          <w:sz w:val="22"/>
          <w:szCs w:val="22"/>
          <w:rtl/>
          <w:lang w:eastAsia="he-IL"/>
        </w:rPr>
        <w:tab/>
        <w:t>עיין גם בשו"ת "בצל החכמה" שכתב רבות על נושא זה.</w:t>
      </w:r>
    </w:p>
    <w:p w14:paraId="7486D0D6" w14:textId="77777777" w:rsidR="00C95FFE" w:rsidRPr="00C95FFE" w:rsidRDefault="00C95FFE" w:rsidP="00C95FFE">
      <w:pPr>
        <w:contextualSpacing/>
        <w:rPr>
          <w:rFonts w:ascii="David" w:hAnsi="David" w:cs="David"/>
          <w:noProof/>
          <w:rtl/>
          <w:lang w:eastAsia="he-IL"/>
        </w:rPr>
      </w:pPr>
    </w:p>
    <w:p w14:paraId="7306A6BD" w14:textId="77777777" w:rsidR="00C95FFE" w:rsidRPr="00C95FFE" w:rsidRDefault="00C95FFE" w:rsidP="00C95FFE">
      <w:pPr>
        <w:keepNext/>
        <w:contextualSpacing/>
        <w:outlineLvl w:val="0"/>
        <w:rPr>
          <w:rFonts w:ascii="David" w:hAnsi="David" w:cs="David"/>
          <w:b/>
          <w:bCs/>
          <w:noProof/>
          <w:lang w:eastAsia="he-IL"/>
        </w:rPr>
      </w:pPr>
    </w:p>
    <w:p w14:paraId="6B7F6591" w14:textId="77777777" w:rsidR="00175477" w:rsidRPr="00C95FFE" w:rsidRDefault="00175477" w:rsidP="0073297B">
      <w:pPr>
        <w:widowControl w:val="0"/>
        <w:tabs>
          <w:tab w:val="left" w:pos="282"/>
        </w:tabs>
        <w:autoSpaceDE w:val="0"/>
        <w:autoSpaceDN w:val="0"/>
        <w:adjustRightInd w:val="0"/>
        <w:ind w:left="282" w:hanging="282"/>
        <w:contextualSpacing/>
        <w:rPr>
          <w:rFonts w:cs="David"/>
          <w:sz w:val="12"/>
          <w:szCs w:val="12"/>
          <w:rtl/>
        </w:rPr>
      </w:pPr>
    </w:p>
    <w:p w14:paraId="267010F0" w14:textId="77777777" w:rsidR="004A331C" w:rsidRPr="004A331C" w:rsidRDefault="004A331C" w:rsidP="004A331C">
      <w:pPr>
        <w:ind w:left="4251"/>
        <w:jc w:val="center"/>
        <w:rPr>
          <w:rFonts w:cs="David"/>
          <w:rtl/>
          <w:lang w:eastAsia="he-IL"/>
        </w:rPr>
      </w:pPr>
      <w:r w:rsidRPr="004A331C">
        <w:rPr>
          <w:rFonts w:cs="David"/>
          <w:rtl/>
          <w:lang w:eastAsia="he-IL"/>
        </w:rPr>
        <w:t>בשם צוות המשיבים ובברכת התורה,</w:t>
      </w:r>
    </w:p>
    <w:p w14:paraId="344680E2" w14:textId="77777777" w:rsidR="004A331C" w:rsidRPr="004A331C" w:rsidRDefault="004A331C" w:rsidP="004A331C">
      <w:pPr>
        <w:ind w:left="4251"/>
        <w:jc w:val="center"/>
        <w:rPr>
          <w:rFonts w:cs="David"/>
          <w:sz w:val="12"/>
          <w:szCs w:val="12"/>
          <w:rtl/>
          <w:lang w:eastAsia="he-IL"/>
        </w:rPr>
      </w:pPr>
    </w:p>
    <w:p w14:paraId="0FCB32B3" w14:textId="77777777" w:rsidR="004A331C" w:rsidRPr="004A331C" w:rsidRDefault="004A331C" w:rsidP="004A331C">
      <w:pPr>
        <w:keepNext/>
        <w:ind w:left="4251"/>
        <w:jc w:val="center"/>
        <w:outlineLvl w:val="1"/>
        <w:rPr>
          <w:rFonts w:cs="David"/>
          <w:noProof/>
          <w:rtl/>
          <w:lang w:eastAsia="he-IL"/>
        </w:rPr>
      </w:pPr>
      <w:r w:rsidRPr="004A331C">
        <w:rPr>
          <w:rFonts w:cs="David"/>
          <w:noProof/>
          <w:rtl/>
          <w:lang w:eastAsia="he-IL"/>
        </w:rPr>
        <w:t>הרב משה ארנרייך          הרב יוסף כרמל</w:t>
      </w:r>
    </w:p>
    <w:p w14:paraId="0164B348" w14:textId="4B818343" w:rsidR="004A331C" w:rsidRPr="004A331C" w:rsidRDefault="004A331C" w:rsidP="004A331C">
      <w:pPr>
        <w:ind w:left="4251"/>
        <w:jc w:val="center"/>
        <w:rPr>
          <w:rFonts w:cs="David"/>
          <w:rtl/>
          <w:lang w:eastAsia="he-IL"/>
        </w:rPr>
      </w:pPr>
      <w:r w:rsidRPr="004A331C">
        <w:rPr>
          <w:rFonts w:cs="David"/>
          <w:rtl/>
          <w:lang w:eastAsia="he-IL"/>
        </w:rPr>
        <w:t>ראשי הכולל</w:t>
      </w:r>
    </w:p>
    <w:p w14:paraId="07641921" w14:textId="50C2F259" w:rsidR="004A331C" w:rsidRPr="004A331C" w:rsidRDefault="004A331C" w:rsidP="004A331C">
      <w:pPr>
        <w:jc w:val="both"/>
        <w:rPr>
          <w:rFonts w:cs="David"/>
          <w:u w:val="single"/>
          <w:rtl/>
          <w:lang w:eastAsia="he-IL"/>
        </w:rPr>
      </w:pPr>
      <w:r w:rsidRPr="004A331C">
        <w:rPr>
          <w:rFonts w:cs="David"/>
          <w:u w:val="single"/>
          <w:rtl/>
          <w:lang w:eastAsia="he-IL"/>
        </w:rPr>
        <w:t>חברי הועדה המייעצת</w:t>
      </w:r>
      <w:r w:rsidRPr="004A331C">
        <w:rPr>
          <w:rFonts w:cs="David" w:hint="cs"/>
          <w:u w:val="single"/>
          <w:rtl/>
          <w:lang w:eastAsia="he-IL"/>
        </w:rPr>
        <w:t xml:space="preserve"> לכרכים ד-ט</w:t>
      </w:r>
      <w:r w:rsidRPr="004A331C">
        <w:rPr>
          <w:rFonts w:cs="David"/>
          <w:u w:val="single"/>
          <w:rtl/>
          <w:lang w:eastAsia="he-IL"/>
        </w:rPr>
        <w:t>:</w:t>
      </w:r>
    </w:p>
    <w:p w14:paraId="2624ABDB" w14:textId="046E7401" w:rsidR="004A331C" w:rsidRPr="004A331C" w:rsidRDefault="004A331C" w:rsidP="004A331C">
      <w:pPr>
        <w:jc w:val="both"/>
        <w:rPr>
          <w:rFonts w:cs="David"/>
          <w:sz w:val="23"/>
          <w:szCs w:val="23"/>
          <w:rtl/>
          <w:lang w:eastAsia="he-IL"/>
        </w:rPr>
      </w:pPr>
      <w:r w:rsidRPr="004A331C">
        <w:rPr>
          <w:rFonts w:cs="David"/>
          <w:sz w:val="23"/>
          <w:szCs w:val="23"/>
          <w:rtl/>
          <w:lang w:eastAsia="he-IL"/>
        </w:rPr>
        <w:t>הרב זלמן נחמיה גולדברג</w:t>
      </w:r>
    </w:p>
    <w:p w14:paraId="67E1B21E" w14:textId="77777777" w:rsidR="004A331C" w:rsidRPr="004A331C" w:rsidRDefault="004A331C" w:rsidP="004A331C">
      <w:pPr>
        <w:jc w:val="both"/>
        <w:rPr>
          <w:rFonts w:cs="David"/>
          <w:sz w:val="23"/>
          <w:szCs w:val="23"/>
          <w:rtl/>
          <w:lang w:eastAsia="he-IL"/>
        </w:rPr>
      </w:pPr>
      <w:r w:rsidRPr="004A331C">
        <w:rPr>
          <w:rFonts w:cs="David"/>
          <w:sz w:val="23"/>
          <w:szCs w:val="23"/>
          <w:rtl/>
          <w:lang w:eastAsia="he-IL"/>
        </w:rPr>
        <w:t>הרב נחום אליעזר רבינוביץ</w:t>
      </w:r>
    </w:p>
    <w:p w14:paraId="605CF174" w14:textId="7C43D4FE" w:rsidR="006138C2" w:rsidRDefault="004A331C" w:rsidP="001021BF">
      <w:pPr>
        <w:spacing w:line="360" w:lineRule="auto"/>
        <w:jc w:val="both"/>
        <w:rPr>
          <w:rFonts w:cs="David"/>
          <w:sz w:val="23"/>
          <w:szCs w:val="23"/>
          <w:rtl/>
          <w:lang w:eastAsia="he-IL"/>
        </w:rPr>
      </w:pPr>
      <w:r w:rsidRPr="004A331C">
        <w:rPr>
          <w:rFonts w:cs="David"/>
          <w:sz w:val="23"/>
          <w:szCs w:val="23"/>
          <w:rtl/>
          <w:lang w:eastAsia="he-IL"/>
        </w:rPr>
        <w:t>הרב ישראל רוזן</w:t>
      </w:r>
    </w:p>
    <w:p w14:paraId="514F0FE8" w14:textId="77777777" w:rsidR="00C95FFE" w:rsidRDefault="00C95FFE" w:rsidP="001021BF">
      <w:pPr>
        <w:spacing w:line="360" w:lineRule="auto"/>
        <w:jc w:val="both"/>
        <w:rPr>
          <w:rFonts w:cs="David"/>
          <w:sz w:val="23"/>
          <w:szCs w:val="23"/>
          <w:rtl/>
          <w:lang w:eastAsia="he-IL"/>
        </w:rPr>
      </w:pPr>
    </w:p>
    <w:p w14:paraId="12012545" w14:textId="61220607" w:rsidR="009E3BBC" w:rsidRDefault="0052605C" w:rsidP="00A72E9C">
      <w:pPr>
        <w:contextualSpacing/>
        <w:jc w:val="center"/>
        <w:rPr>
          <w:rStyle w:val="Hyperlink"/>
          <w:rFonts w:cs="David"/>
          <w:b/>
          <w:bCs/>
          <w:color w:val="002060"/>
          <w:u w:val="none"/>
          <w:rtl/>
          <w:lang w:eastAsia="he-IL"/>
        </w:rPr>
      </w:pPr>
      <w:hyperlink r:id="rId19" w:history="1">
        <w:r w:rsidR="002E4F14" w:rsidRPr="00C71B59">
          <w:rPr>
            <w:rStyle w:val="Hyperlink"/>
            <w:rFonts w:cs="David" w:hint="cs"/>
            <w:b/>
            <w:bCs/>
            <w:color w:val="002060"/>
            <w:rtl/>
            <w:lang w:eastAsia="he-IL"/>
          </w:rPr>
          <w:t>ארץ חמדה – קישור לשו"ת במראה הבזק באתר</w:t>
        </w:r>
      </w:hyperlink>
      <w:r w:rsidR="00A72E9C" w:rsidRPr="00A72E9C">
        <w:rPr>
          <w:rStyle w:val="Hyperlink"/>
          <w:rFonts w:cs="David" w:hint="cs"/>
          <w:b/>
          <w:bCs/>
          <w:color w:val="002060"/>
          <w:u w:val="none"/>
          <w:rtl/>
          <w:lang w:eastAsia="he-IL"/>
        </w:rPr>
        <w:t xml:space="preserve">     </w:t>
      </w:r>
    </w:p>
    <w:p w14:paraId="714E3712" w14:textId="77777777" w:rsidR="00C95FFE" w:rsidRDefault="00C95FFE" w:rsidP="00A72E9C">
      <w:pPr>
        <w:contextualSpacing/>
        <w:jc w:val="center"/>
        <w:rPr>
          <w:rFonts w:cs="David"/>
          <w:b/>
          <w:bCs/>
          <w:color w:val="0070C0"/>
          <w:rtl/>
          <w:lang w:eastAsia="he-IL"/>
        </w:rPr>
      </w:pPr>
    </w:p>
    <w:p w14:paraId="76C29EE5" w14:textId="56DD49AE" w:rsidR="009D10EF" w:rsidRDefault="00612652" w:rsidP="00A72E9C">
      <w:pPr>
        <w:contextualSpacing/>
        <w:jc w:val="center"/>
        <w:rPr>
          <w:color w:val="0070C0"/>
          <w:rtl/>
        </w:rPr>
      </w:pPr>
      <w:r w:rsidRPr="00C71B59">
        <w:rPr>
          <w:rFonts w:cs="David" w:hint="cs"/>
          <w:b/>
          <w:bCs/>
          <w:color w:val="0070C0"/>
          <w:rtl/>
          <w:lang w:eastAsia="he-IL"/>
        </w:rPr>
        <w:t>ני</w:t>
      </w:r>
      <w:r w:rsidR="002E4F14" w:rsidRPr="00C71B59">
        <w:rPr>
          <w:rFonts w:cs="David"/>
          <w:b/>
          <w:bCs/>
          <w:color w:val="0070C0"/>
          <w:rtl/>
          <w:lang w:eastAsia="he-IL"/>
        </w:rPr>
        <w:t>תן ליצור קשר עם הכותבים דרך</w:t>
      </w:r>
      <w:r w:rsidR="002E4F14" w:rsidRPr="00C71B59">
        <w:rPr>
          <w:rFonts w:cs="David" w:hint="cs"/>
          <w:b/>
          <w:bCs/>
          <w:color w:val="0070C0"/>
          <w:rtl/>
          <w:lang w:eastAsia="he-IL"/>
        </w:rPr>
        <w:t xml:space="preserve">: </w:t>
      </w:r>
      <w:r w:rsidR="002E4F14" w:rsidRPr="00C71B59">
        <w:rPr>
          <w:rFonts w:cs="David"/>
          <w:b/>
          <w:bCs/>
          <w:color w:val="0070C0"/>
          <w:rtl/>
          <w:lang w:eastAsia="he-IL"/>
        </w:rPr>
        <w:t xml:space="preserve"> </w:t>
      </w:r>
      <w:hyperlink r:id="rId20" w:history="1">
        <w:r w:rsidR="002E4F14" w:rsidRPr="00C71B59">
          <w:rPr>
            <w:color w:val="0070C0"/>
          </w:rPr>
          <w:t>info@eretzhemdah.org</w:t>
        </w:r>
      </w:hyperlink>
    </w:p>
    <w:p w14:paraId="026071D4" w14:textId="7712AFC6" w:rsidR="00363F5B" w:rsidRDefault="00363F5B" w:rsidP="00A72E9C">
      <w:pPr>
        <w:contextualSpacing/>
        <w:jc w:val="center"/>
        <w:rPr>
          <w:color w:val="0070C0"/>
          <w:rtl/>
        </w:rPr>
      </w:pPr>
    </w:p>
    <w:p w14:paraId="5F6C3606" w14:textId="22EE40DC" w:rsidR="00363F5B" w:rsidRDefault="00363F5B" w:rsidP="00A72E9C">
      <w:pPr>
        <w:contextualSpacing/>
        <w:jc w:val="center"/>
        <w:rPr>
          <w:rFonts w:cs="David"/>
        </w:rPr>
      </w:pPr>
      <w:r w:rsidRPr="00876564">
        <w:rPr>
          <w:noProof/>
          <w:sz w:val="20"/>
          <w:szCs w:val="20"/>
          <w:rtl/>
        </w:rPr>
        <w:drawing>
          <wp:anchor distT="0" distB="0" distL="114300" distR="114300" simplePos="0" relativeHeight="252021760" behindDoc="0" locked="0" layoutInCell="1" allowOverlap="1" wp14:anchorId="3ECC3274" wp14:editId="232F9898">
            <wp:simplePos x="0" y="0"/>
            <wp:positionH relativeFrom="margin">
              <wp:posOffset>1145540</wp:posOffset>
            </wp:positionH>
            <wp:positionV relativeFrom="paragraph">
              <wp:posOffset>60325</wp:posOffset>
            </wp:positionV>
            <wp:extent cx="4838065" cy="1097280"/>
            <wp:effectExtent l="0" t="0" r="635" b="7620"/>
            <wp:wrapNone/>
            <wp:docPr id="7" name="תמונה 7" descr="משטר ומדינה פרסום לחי">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8065" cy="1097280"/>
                    </a:xfrm>
                    <a:prstGeom prst="rect">
                      <a:avLst/>
                    </a:prstGeom>
                    <a:noFill/>
                  </pic:spPr>
                </pic:pic>
              </a:graphicData>
            </a:graphic>
            <wp14:sizeRelH relativeFrom="page">
              <wp14:pctWidth>0</wp14:pctWidth>
            </wp14:sizeRelH>
            <wp14:sizeRelV relativeFrom="page">
              <wp14:pctHeight>0</wp14:pctHeight>
            </wp14:sizeRelV>
          </wp:anchor>
        </w:drawing>
      </w:r>
    </w:p>
    <w:sectPr w:rsidR="00363F5B" w:rsidSect="003D51B7">
      <w:headerReference w:type="default" r:id="rId23"/>
      <w:headerReference w:type="first" r:id="rId24"/>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5" name="תמונה 5"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4C7C95F3" w:rsidR="003056AF" w:rsidRPr="00FA505B" w:rsidRDefault="00572BDA"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חיי שרה</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5"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9"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10"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5"/>
  </w:num>
  <w:num w:numId="4">
    <w:abstractNumId w:val="4"/>
  </w:num>
  <w:num w:numId="5">
    <w:abstractNumId w:val="9"/>
  </w:num>
  <w:num w:numId="6">
    <w:abstractNumId w:val="8"/>
  </w:num>
  <w:num w:numId="7">
    <w:abstractNumId w:val="6"/>
  </w:num>
  <w:num w:numId="8">
    <w:abstractNumId w:val="3"/>
  </w:num>
  <w:num w:numId="9">
    <w:abstractNumId w:val="1"/>
  </w:num>
  <w:num w:numId="1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937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AA"/>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937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41B5"/>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retzhemdah.org/publications.asp?lang=he&amp;pa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retzhemdah.org/newsletterArticle.asp?lang=he&amp;pageid=&amp;cat=1&amp;newsletter=5416&amp;article=13425"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3270</Words>
  <Characters>15372</Characters>
  <Application>Microsoft Office Word</Application>
  <DocSecurity>0</DocSecurity>
  <Lines>128</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8</cp:revision>
  <cp:lastPrinted>2025-01-30T11:17:00Z</cp:lastPrinted>
  <dcterms:created xsi:type="dcterms:W3CDTF">2025-11-06T09:57:00Z</dcterms:created>
  <dcterms:modified xsi:type="dcterms:W3CDTF">2025-11-13T10:05:00Z</dcterms:modified>
</cp:coreProperties>
</file>