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5BCE3FBA">
                  <wp:simplePos x="0" y="0"/>
                  <wp:positionH relativeFrom="column">
                    <wp:posOffset>2548890</wp:posOffset>
                  </wp:positionH>
                  <wp:positionV relativeFrom="paragraph">
                    <wp:posOffset>73660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23A2833B"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A80E2A">
              <w:rPr>
                <w:rFonts w:ascii="Arial Black" w:hAnsi="Arial Black" w:cs="David" w:hint="cs"/>
                <w:b/>
                <w:bCs/>
                <w:iCs/>
                <w:color w:val="960000"/>
                <w:sz w:val="56"/>
                <w:szCs w:val="56"/>
                <w:rtl/>
              </w:rPr>
              <w:t xml:space="preserve"> </w:t>
            </w:r>
            <w:r w:rsidR="00E04C76" w:rsidRPr="00E04C76">
              <w:rPr>
                <w:rFonts w:ascii="Arial Black" w:hAnsi="Arial Black" w:cs="David" w:hint="cs"/>
                <w:b/>
                <w:bCs/>
                <w:iCs/>
                <w:color w:val="960000"/>
                <w:sz w:val="52"/>
                <w:szCs w:val="52"/>
                <w:rtl/>
              </w:rPr>
              <w:t xml:space="preserve">כי </w:t>
            </w:r>
            <w:proofErr w:type="spellStart"/>
            <w:r w:rsidR="00E04C76" w:rsidRPr="00E04C76">
              <w:rPr>
                <w:rFonts w:ascii="Arial Black" w:hAnsi="Arial Black" w:cs="David" w:hint="cs"/>
                <w:b/>
                <w:bCs/>
                <w:iCs/>
                <w:color w:val="960000"/>
                <w:sz w:val="52"/>
                <w:szCs w:val="52"/>
                <w:rtl/>
              </w:rPr>
              <w:t>תשא</w:t>
            </w:r>
            <w:proofErr w:type="spellEnd"/>
            <w:r w:rsidR="00E04C76" w:rsidRPr="00E04C76">
              <w:rPr>
                <w:rFonts w:ascii="Arial Black" w:hAnsi="Arial Black" w:cs="David" w:hint="cs"/>
                <w:b/>
                <w:bCs/>
                <w:iCs/>
                <w:color w:val="960000"/>
                <w:sz w:val="52"/>
                <w:szCs w:val="52"/>
                <w:rtl/>
              </w:rPr>
              <w:t>-פורים</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7EC25FB9" w14:textId="77777777" w:rsidR="006038E9" w:rsidRPr="006038E9" w:rsidRDefault="006038E9" w:rsidP="006038E9">
            <w:pPr>
              <w:contextualSpacing/>
              <w:jc w:val="center"/>
              <w:rPr>
                <w:rFonts w:ascii="FrankRuehl" w:eastAsia="Calibri" w:hAnsi="FrankRuehl" w:cs="FrankRuehl"/>
                <w:b/>
                <w:bCs/>
                <w:color w:val="0070C0"/>
                <w:sz w:val="34"/>
                <w:szCs w:val="34"/>
                <w:u w:val="single"/>
                <w:rtl/>
              </w:rPr>
            </w:pPr>
            <w:bookmarkStart w:id="1" w:name="_Hlk184807529"/>
            <w:r w:rsidRPr="006038E9">
              <w:rPr>
                <w:rFonts w:ascii="FrankRuehl" w:eastAsia="Calibri" w:hAnsi="FrankRuehl" w:cs="FrankRuehl" w:hint="cs"/>
                <w:b/>
                <w:bCs/>
                <w:color w:val="0070C0"/>
                <w:sz w:val="34"/>
                <w:szCs w:val="34"/>
                <w:u w:val="single"/>
                <w:rtl/>
              </w:rPr>
              <w:t xml:space="preserve">גם </w:t>
            </w:r>
            <w:r w:rsidRPr="006038E9">
              <w:rPr>
                <w:rFonts w:ascii="FrankRuehl" w:eastAsia="Calibri" w:hAnsi="FrankRuehl" w:cs="FrankRuehl"/>
                <w:b/>
                <w:bCs/>
                <w:color w:val="0070C0"/>
                <w:sz w:val="34"/>
                <w:szCs w:val="34"/>
                <w:u w:val="single"/>
                <w:rtl/>
              </w:rPr>
              <w:t>דוד המלך מסתתר במגילת אסתר</w:t>
            </w:r>
            <w:r w:rsidRPr="006038E9">
              <w:rPr>
                <w:rFonts w:ascii="FrankRuehl" w:eastAsia="Calibri" w:hAnsi="FrankRuehl" w:cs="FrankRuehl" w:hint="cs"/>
                <w:b/>
                <w:bCs/>
                <w:color w:val="0070C0"/>
                <w:sz w:val="34"/>
                <w:szCs w:val="34"/>
                <w:u w:val="single"/>
                <w:rtl/>
              </w:rPr>
              <w:t>!</w:t>
            </w:r>
          </w:p>
          <w:p w14:paraId="3C30A566" w14:textId="12466C01" w:rsidR="00313B91" w:rsidRPr="00197C20" w:rsidRDefault="00E8510C" w:rsidP="00197C20">
            <w:pPr>
              <w:contextualSpacing/>
              <w:jc w:val="center"/>
              <w:rPr>
                <w:rFonts w:cs="David"/>
                <w:noProof/>
                <w:color w:val="0070C0"/>
                <w:sz w:val="26"/>
                <w:szCs w:val="26"/>
                <w:rtl/>
              </w:rPr>
            </w:pPr>
            <w:r w:rsidRPr="00197C20">
              <w:rPr>
                <w:rFonts w:ascii="Arial" w:hAnsi="Arial" w:cs="David"/>
                <w:b/>
                <w:bCs/>
                <w:color w:val="0070C0"/>
                <w:sz w:val="26"/>
                <w:szCs w:val="26"/>
                <w:rtl/>
              </w:rPr>
              <w:t>הרב יוסף כרמל</w:t>
            </w:r>
            <w:r w:rsidRPr="00197C20">
              <w:rPr>
                <w:rFonts w:cs="David"/>
                <w:b/>
                <w:bCs/>
                <w:color w:val="0070C0"/>
                <w:sz w:val="26"/>
                <w:szCs w:val="26"/>
                <w:rtl/>
              </w:rPr>
              <w:t>, ראש</w:t>
            </w:r>
            <w:r w:rsidRPr="00197C20">
              <w:rPr>
                <w:rFonts w:ascii="Arial" w:hAnsi="Arial" w:cs="David"/>
                <w:b/>
                <w:bCs/>
                <w:color w:val="0070C0"/>
                <w:sz w:val="26"/>
                <w:szCs w:val="26"/>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261830C8" w14:textId="77777777" w:rsidR="006038E9" w:rsidRPr="006038E9" w:rsidRDefault="006038E9" w:rsidP="00B448CD">
            <w:pPr>
              <w:ind w:left="312"/>
              <w:rPr>
                <w:rFonts w:ascii="David" w:hAnsi="David" w:cs="David"/>
                <w:sz w:val="23"/>
                <w:szCs w:val="23"/>
                <w:rtl/>
              </w:rPr>
            </w:pPr>
            <w:r w:rsidRPr="006038E9">
              <w:rPr>
                <w:rFonts w:ascii="FrankRuehl" w:hAnsi="FrankRuehl" w:cs="FrankRuehl"/>
                <w:b/>
                <w:bCs/>
                <w:sz w:val="25"/>
                <w:szCs w:val="25"/>
                <w:rtl/>
              </w:rPr>
              <w:t>"אִישׁ יְהוּדִי הָיָה בְּשׁוּשַׁן הַבִּירָה וּשְׁמוֹ מָרְדֳּכַי בֶּן יָאִיר בֶּן שִׁמְעִי בֶּן קִישׁ אִישׁ יְמִינִי"</w:t>
            </w:r>
            <w:r w:rsidRPr="006038E9">
              <w:rPr>
                <w:rFonts w:ascii="David" w:hAnsi="David" w:cs="David"/>
                <w:sz w:val="23"/>
                <w:szCs w:val="23"/>
                <w:rtl/>
              </w:rPr>
              <w:t xml:space="preserve"> </w:t>
            </w:r>
            <w:r w:rsidRPr="006038E9">
              <w:rPr>
                <w:rFonts w:ascii="David" w:hAnsi="David" w:cs="David"/>
                <w:sz w:val="20"/>
                <w:szCs w:val="20"/>
                <w:rtl/>
              </w:rPr>
              <w:t>(אסתר ב, ה)</w:t>
            </w:r>
            <w:r w:rsidRPr="006038E9">
              <w:rPr>
                <w:rFonts w:ascii="David" w:hAnsi="David" w:cs="David"/>
                <w:sz w:val="23"/>
                <w:szCs w:val="23"/>
                <w:rtl/>
              </w:rPr>
              <w:t xml:space="preserve"> </w:t>
            </w:r>
          </w:p>
          <w:p w14:paraId="091422A8" w14:textId="1F037AFA" w:rsidR="006038E9" w:rsidRPr="006038E9" w:rsidRDefault="006038E9" w:rsidP="00B448CD">
            <w:pPr>
              <w:rPr>
                <w:rFonts w:ascii="David" w:hAnsi="David" w:cs="David"/>
                <w:sz w:val="20"/>
                <w:szCs w:val="20"/>
                <w:rtl/>
              </w:rPr>
            </w:pPr>
            <w:r w:rsidRPr="006038E9">
              <w:rPr>
                <w:rFonts w:ascii="David" w:hAnsi="David" w:cs="David"/>
                <w:sz w:val="23"/>
                <w:szCs w:val="23"/>
                <w:rtl/>
              </w:rPr>
              <w:t xml:space="preserve">פסוק זה הוא הראשון במגילה שקושר את </w:t>
            </w:r>
            <w:r w:rsidRPr="006038E9">
              <w:rPr>
                <w:rFonts w:ascii="David" w:hAnsi="David" w:cs="David" w:hint="cs"/>
                <w:sz w:val="23"/>
                <w:szCs w:val="23"/>
                <w:rtl/>
              </w:rPr>
              <w:t>תולדות עם ישראל ל</w:t>
            </w:r>
            <w:r w:rsidRPr="006038E9">
              <w:rPr>
                <w:rFonts w:ascii="David" w:hAnsi="David" w:cs="David"/>
                <w:sz w:val="23"/>
                <w:szCs w:val="23"/>
                <w:rtl/>
              </w:rPr>
              <w:t xml:space="preserve">מאורעות </w:t>
            </w:r>
            <w:r w:rsidRPr="006038E9">
              <w:rPr>
                <w:rFonts w:ascii="David" w:hAnsi="David" w:cs="David" w:hint="cs"/>
                <w:sz w:val="23"/>
                <w:szCs w:val="23"/>
                <w:rtl/>
              </w:rPr>
              <w:t>מימי</w:t>
            </w:r>
            <w:r w:rsidRPr="006038E9">
              <w:rPr>
                <w:rFonts w:ascii="David" w:hAnsi="David" w:cs="David"/>
                <w:sz w:val="23"/>
                <w:szCs w:val="23"/>
                <w:rtl/>
              </w:rPr>
              <w:t xml:space="preserve"> </w:t>
            </w:r>
            <w:r w:rsidRPr="006038E9">
              <w:rPr>
                <w:rFonts w:ascii="David" w:hAnsi="David" w:cs="David" w:hint="cs"/>
                <w:sz w:val="23"/>
                <w:szCs w:val="23"/>
                <w:rtl/>
              </w:rPr>
              <w:t>ה</w:t>
            </w:r>
            <w:r w:rsidRPr="006038E9">
              <w:rPr>
                <w:rFonts w:ascii="David" w:hAnsi="David" w:cs="David"/>
                <w:sz w:val="23"/>
                <w:szCs w:val="23"/>
                <w:rtl/>
              </w:rPr>
              <w:t>אימפריה הפרסית</w:t>
            </w:r>
            <w:r w:rsidRPr="006038E9">
              <w:rPr>
                <w:rFonts w:ascii="David" w:hAnsi="David" w:cs="David" w:hint="cs"/>
                <w:sz w:val="23"/>
                <w:szCs w:val="23"/>
                <w:rtl/>
              </w:rPr>
              <w:t>.</w:t>
            </w:r>
            <w:r w:rsidRPr="006038E9">
              <w:rPr>
                <w:rFonts w:ascii="David" w:hAnsi="David" w:cs="David"/>
                <w:sz w:val="23"/>
                <w:szCs w:val="23"/>
                <w:rtl/>
              </w:rPr>
              <w:t xml:space="preserve"> חשיבותו של פסוק זה באה לידי ביטוי גם בדעת רבי יהודה במשנה</w:t>
            </w:r>
            <w:r w:rsidRPr="006038E9">
              <w:rPr>
                <w:rFonts w:ascii="David" w:hAnsi="David" w:cs="David" w:hint="cs"/>
                <w:sz w:val="23"/>
                <w:szCs w:val="23"/>
                <w:rtl/>
              </w:rPr>
              <w:t>:</w:t>
            </w:r>
            <w:r w:rsidRPr="006038E9">
              <w:rPr>
                <w:rFonts w:ascii="David" w:hAnsi="David" w:cs="David"/>
                <w:sz w:val="23"/>
                <w:szCs w:val="23"/>
                <w:rtl/>
              </w:rPr>
              <w:t xml:space="preserve"> "ומהיכן קורא אדם את המגילה ויוצא בה ידי חובתו רבי מאיר אומר כולה רבי יהודה אומר </w:t>
            </w:r>
            <w:r w:rsidRPr="006038E9">
              <w:rPr>
                <w:rFonts w:ascii="David" w:hAnsi="David" w:cs="David"/>
                <w:b/>
                <w:bCs/>
                <w:sz w:val="23"/>
                <w:szCs w:val="23"/>
                <w:rtl/>
              </w:rPr>
              <w:t>מאיש יהודי</w:t>
            </w:r>
            <w:r w:rsidRPr="006038E9">
              <w:rPr>
                <w:rFonts w:ascii="David" w:hAnsi="David" w:cs="David"/>
                <w:sz w:val="23"/>
                <w:szCs w:val="23"/>
                <w:rtl/>
              </w:rPr>
              <w:t xml:space="preserve"> ..." </w:t>
            </w:r>
            <w:r w:rsidRPr="006038E9">
              <w:rPr>
                <w:rFonts w:ascii="David" w:hAnsi="David" w:cs="David"/>
                <w:sz w:val="20"/>
                <w:szCs w:val="20"/>
                <w:rtl/>
              </w:rPr>
              <w:t xml:space="preserve">(מגילה פ"ב מ"ג, למען הסר ספק גם לדעת רבי יהודה המגילה צריכה לכלול גם את כל הפסוקים הקודמים). </w:t>
            </w:r>
          </w:p>
          <w:p w14:paraId="64823646" w14:textId="77777777" w:rsidR="006038E9" w:rsidRPr="00B448CD" w:rsidRDefault="006038E9" w:rsidP="00B448CD">
            <w:pPr>
              <w:rPr>
                <w:rFonts w:ascii="David" w:hAnsi="David" w:cs="David"/>
                <w:sz w:val="20"/>
                <w:szCs w:val="20"/>
                <w:rtl/>
              </w:rPr>
            </w:pPr>
            <w:r w:rsidRPr="006038E9">
              <w:rPr>
                <w:rFonts w:ascii="David" w:hAnsi="David" w:cs="David"/>
                <w:sz w:val="23"/>
                <w:szCs w:val="23"/>
                <w:rtl/>
              </w:rPr>
              <w:t>כיאה לימי הפורים</w:t>
            </w:r>
            <w:r w:rsidRPr="006038E9">
              <w:rPr>
                <w:rFonts w:ascii="David" w:hAnsi="David" w:cs="David" w:hint="cs"/>
                <w:sz w:val="23"/>
                <w:szCs w:val="23"/>
                <w:rtl/>
              </w:rPr>
              <w:t>,</w:t>
            </w:r>
            <w:r w:rsidRPr="006038E9">
              <w:rPr>
                <w:rFonts w:ascii="David" w:hAnsi="David" w:cs="David"/>
                <w:sz w:val="23"/>
                <w:szCs w:val="23"/>
                <w:rtl/>
              </w:rPr>
              <w:t xml:space="preserve"> מאחורי פסוק זה מסתתרות סוגיות חשובות ביותר. ננסה לברר אחת מהן: המילה </w:t>
            </w:r>
            <w:r w:rsidRPr="006038E9">
              <w:rPr>
                <w:rFonts w:ascii="FrankRuehl" w:hAnsi="FrankRuehl" w:cs="FrankRuehl"/>
                <w:b/>
                <w:bCs/>
                <w:rtl/>
              </w:rPr>
              <w:t>אִישׁ</w:t>
            </w:r>
            <w:r w:rsidRPr="006038E9">
              <w:rPr>
                <w:rFonts w:ascii="David" w:hAnsi="David" w:cs="David"/>
                <w:sz w:val="23"/>
                <w:szCs w:val="23"/>
                <w:rtl/>
              </w:rPr>
              <w:t xml:space="preserve"> מופיעה פעמיים בפסוק. בכל מקום בתנ"ך אִישׁ משמעותו אישיות חשובה כמו בפסוק</w:t>
            </w:r>
            <w:r w:rsidRPr="006038E9">
              <w:rPr>
                <w:rFonts w:ascii="David" w:hAnsi="David" w:cs="David" w:hint="cs"/>
                <w:sz w:val="23"/>
                <w:szCs w:val="23"/>
                <w:rtl/>
              </w:rPr>
              <w:t>:</w:t>
            </w:r>
            <w:r w:rsidRPr="006038E9">
              <w:rPr>
                <w:rFonts w:ascii="David" w:hAnsi="David" w:cs="David"/>
                <w:sz w:val="23"/>
                <w:szCs w:val="23"/>
                <w:rtl/>
              </w:rPr>
              <w:t xml:space="preserve"> </w:t>
            </w:r>
            <w:r w:rsidRPr="006038E9">
              <w:rPr>
                <w:rFonts w:ascii="FrankRuehl" w:hAnsi="FrankRuehl" w:cs="FrankRuehl"/>
                <w:rtl/>
              </w:rPr>
              <w:t xml:space="preserve">"וַיֵּלֶךְ </w:t>
            </w:r>
            <w:r w:rsidRPr="006038E9">
              <w:rPr>
                <w:rFonts w:ascii="FrankRuehl" w:hAnsi="FrankRuehl" w:cs="FrankRuehl"/>
                <w:b/>
                <w:bCs/>
                <w:rtl/>
              </w:rPr>
              <w:t>אִישׁ</w:t>
            </w:r>
            <w:r w:rsidRPr="006038E9">
              <w:rPr>
                <w:rFonts w:ascii="FrankRuehl" w:hAnsi="FrankRuehl" w:cs="FrankRuehl"/>
                <w:rtl/>
              </w:rPr>
              <w:t xml:space="preserve"> מִבֵּית לֵוִי </w:t>
            </w:r>
            <w:proofErr w:type="spellStart"/>
            <w:r w:rsidRPr="006038E9">
              <w:rPr>
                <w:rFonts w:ascii="FrankRuehl" w:hAnsi="FrankRuehl" w:cs="FrankRuehl"/>
                <w:rtl/>
              </w:rPr>
              <w:t>וַיִּקַּח</w:t>
            </w:r>
            <w:proofErr w:type="spellEnd"/>
            <w:r w:rsidRPr="006038E9">
              <w:rPr>
                <w:rFonts w:ascii="FrankRuehl" w:hAnsi="FrankRuehl" w:cs="FrankRuehl"/>
                <w:rtl/>
              </w:rPr>
              <w:t xml:space="preserve"> אֶת בַּת לֵוִי"</w:t>
            </w:r>
            <w:r w:rsidRPr="006038E9">
              <w:rPr>
                <w:rFonts w:ascii="David" w:hAnsi="David" w:cs="David"/>
                <w:sz w:val="23"/>
                <w:szCs w:val="23"/>
                <w:rtl/>
              </w:rPr>
              <w:t xml:space="preserve"> </w:t>
            </w:r>
            <w:r w:rsidRPr="006038E9">
              <w:rPr>
                <w:rFonts w:ascii="David" w:hAnsi="David" w:cs="David"/>
                <w:sz w:val="20"/>
                <w:szCs w:val="20"/>
                <w:rtl/>
              </w:rPr>
              <w:t>(שמות ב, א),</w:t>
            </w:r>
            <w:r w:rsidRPr="006038E9">
              <w:rPr>
                <w:rFonts w:ascii="David" w:hAnsi="David" w:cs="David"/>
                <w:sz w:val="23"/>
                <w:szCs w:val="23"/>
                <w:rtl/>
              </w:rPr>
              <w:t xml:space="preserve"> יש לכך משמעות. גם שמעי הנזכר בפסוקנו מכונה איש בספר שמואל ב'</w:t>
            </w:r>
            <w:r w:rsidRPr="006038E9">
              <w:rPr>
                <w:rFonts w:ascii="David" w:hAnsi="David" w:cs="David" w:hint="cs"/>
                <w:sz w:val="23"/>
                <w:szCs w:val="23"/>
                <w:rtl/>
              </w:rPr>
              <w:t>:</w:t>
            </w:r>
            <w:r w:rsidRPr="006038E9">
              <w:rPr>
                <w:rFonts w:ascii="David" w:hAnsi="David" w:cs="David"/>
                <w:sz w:val="23"/>
                <w:szCs w:val="23"/>
                <w:rtl/>
              </w:rPr>
              <w:t xml:space="preserve"> </w:t>
            </w:r>
            <w:r w:rsidRPr="006038E9">
              <w:rPr>
                <w:rFonts w:ascii="FrankRuehl" w:hAnsi="FrankRuehl" w:cs="FrankRuehl"/>
                <w:rtl/>
              </w:rPr>
              <w:t xml:space="preserve">"וּבָא הַמֶּלֶךְ דָּוִד עַד בַּחוּרִים וְהִנֵּה מִשָּׁם </w:t>
            </w:r>
            <w:r w:rsidRPr="006038E9">
              <w:rPr>
                <w:rFonts w:ascii="FrankRuehl" w:hAnsi="FrankRuehl" w:cs="FrankRuehl"/>
                <w:b/>
                <w:bCs/>
                <w:rtl/>
              </w:rPr>
              <w:t>אִישׁ</w:t>
            </w:r>
            <w:r w:rsidRPr="006038E9">
              <w:rPr>
                <w:rFonts w:ascii="FrankRuehl" w:hAnsi="FrankRuehl" w:cs="FrankRuehl"/>
                <w:rtl/>
              </w:rPr>
              <w:t xml:space="preserve"> יוֹצֵא מִמִּשְׁפַּחַת בֵּית שָׁאוּל וּשְׁמוֹ שִׁמְעִי בֶן גֵּרָא יֹצֵא יָצוֹא וּמְקַלֵּל"</w:t>
            </w:r>
            <w:r w:rsidRPr="006038E9">
              <w:rPr>
                <w:rFonts w:ascii="David" w:hAnsi="David" w:cs="David"/>
                <w:sz w:val="23"/>
                <w:szCs w:val="23"/>
                <w:rtl/>
              </w:rPr>
              <w:t xml:space="preserve"> </w:t>
            </w:r>
            <w:r w:rsidRPr="006038E9">
              <w:rPr>
                <w:rFonts w:ascii="David" w:hAnsi="David" w:cs="David"/>
                <w:sz w:val="20"/>
                <w:szCs w:val="20"/>
                <w:rtl/>
              </w:rPr>
              <w:t>(</w:t>
            </w:r>
            <w:proofErr w:type="spellStart"/>
            <w:r w:rsidRPr="006038E9">
              <w:rPr>
                <w:rFonts w:ascii="David" w:hAnsi="David" w:cs="David"/>
                <w:sz w:val="20"/>
                <w:szCs w:val="20"/>
                <w:rtl/>
              </w:rPr>
              <w:t>טז</w:t>
            </w:r>
            <w:proofErr w:type="spellEnd"/>
            <w:r w:rsidRPr="006038E9">
              <w:rPr>
                <w:rFonts w:ascii="David" w:hAnsi="David" w:cs="David"/>
                <w:sz w:val="20"/>
                <w:szCs w:val="20"/>
                <w:rtl/>
              </w:rPr>
              <w:t>, ה).</w:t>
            </w:r>
            <w:r w:rsidRPr="006038E9">
              <w:rPr>
                <w:rFonts w:ascii="David" w:hAnsi="David" w:cs="David"/>
                <w:sz w:val="23"/>
                <w:szCs w:val="23"/>
                <w:rtl/>
              </w:rPr>
              <w:t xml:space="preserve"> האיש הזה זוכה לכינוי מאוד מיוחד בהמשך הספר</w:t>
            </w:r>
            <w:r w:rsidRPr="006038E9">
              <w:rPr>
                <w:rFonts w:ascii="David" w:hAnsi="David" w:cs="David" w:hint="cs"/>
                <w:sz w:val="23"/>
                <w:szCs w:val="23"/>
                <w:rtl/>
              </w:rPr>
              <w:t>:</w:t>
            </w:r>
            <w:r w:rsidRPr="006038E9">
              <w:rPr>
                <w:rFonts w:ascii="David" w:hAnsi="David" w:cs="David"/>
                <w:sz w:val="23"/>
                <w:szCs w:val="23"/>
                <w:rtl/>
              </w:rPr>
              <w:t xml:space="preserve"> </w:t>
            </w:r>
            <w:r w:rsidRPr="006038E9">
              <w:rPr>
                <w:rFonts w:ascii="FrankRuehl" w:hAnsi="FrankRuehl" w:cs="FrankRuehl"/>
                <w:rtl/>
              </w:rPr>
              <w:t>"רִאשׁוֹן לְכָל בֵּית יוֹסֵף"</w:t>
            </w:r>
            <w:r w:rsidRPr="006038E9">
              <w:rPr>
                <w:rFonts w:ascii="David" w:hAnsi="David" w:cs="David"/>
                <w:sz w:val="23"/>
                <w:szCs w:val="23"/>
                <w:rtl/>
              </w:rPr>
              <w:t xml:space="preserve"> </w:t>
            </w:r>
            <w:r w:rsidRPr="006038E9">
              <w:rPr>
                <w:rFonts w:ascii="David" w:hAnsi="David" w:cs="David"/>
                <w:sz w:val="20"/>
                <w:szCs w:val="20"/>
                <w:rtl/>
              </w:rPr>
              <w:t xml:space="preserve">(שם </w:t>
            </w:r>
            <w:proofErr w:type="spellStart"/>
            <w:r w:rsidRPr="006038E9">
              <w:rPr>
                <w:rFonts w:ascii="David" w:hAnsi="David" w:cs="David"/>
                <w:sz w:val="20"/>
                <w:szCs w:val="20"/>
                <w:rtl/>
              </w:rPr>
              <w:t>יט</w:t>
            </w:r>
            <w:proofErr w:type="spellEnd"/>
            <w:r w:rsidRPr="006038E9">
              <w:rPr>
                <w:rFonts w:ascii="David" w:hAnsi="David" w:cs="David"/>
                <w:sz w:val="20"/>
                <w:szCs w:val="20"/>
                <w:rtl/>
              </w:rPr>
              <w:t xml:space="preserve">, </w:t>
            </w:r>
            <w:proofErr w:type="spellStart"/>
            <w:r w:rsidRPr="006038E9">
              <w:rPr>
                <w:rFonts w:ascii="David" w:hAnsi="David" w:cs="David"/>
                <w:sz w:val="20"/>
                <w:szCs w:val="20"/>
                <w:rtl/>
              </w:rPr>
              <w:t>כא</w:t>
            </w:r>
            <w:proofErr w:type="spellEnd"/>
            <w:r w:rsidRPr="006038E9">
              <w:rPr>
                <w:rFonts w:ascii="David" w:hAnsi="David" w:cs="David"/>
                <w:sz w:val="20"/>
                <w:szCs w:val="20"/>
                <w:rtl/>
              </w:rPr>
              <w:t>).</w:t>
            </w:r>
            <w:r w:rsidRPr="006038E9">
              <w:rPr>
                <w:rFonts w:ascii="David" w:hAnsi="David" w:cs="David"/>
                <w:sz w:val="23"/>
                <w:szCs w:val="23"/>
                <w:rtl/>
              </w:rPr>
              <w:t xml:space="preserve"> ביטוי שמשמעותו (לענ"ד) המנהיג של כל בני יוסף, כלומר מנהיגם של עשרת השבטים. (</w:t>
            </w:r>
            <w:r w:rsidRPr="00B448CD">
              <w:rPr>
                <w:rFonts w:ascii="David" w:hAnsi="David" w:cs="David"/>
                <w:sz w:val="20"/>
                <w:szCs w:val="20"/>
                <w:rtl/>
              </w:rPr>
              <w:t xml:space="preserve">בהמשך תפס את מקומו ירבעם בן נבט, לכן דוד כל כך חשש ממנו). </w:t>
            </w:r>
          </w:p>
          <w:p w14:paraId="7268F634" w14:textId="77777777" w:rsidR="006038E9" w:rsidRPr="006038E9" w:rsidRDefault="006038E9" w:rsidP="00B448CD">
            <w:pPr>
              <w:rPr>
                <w:rFonts w:ascii="David" w:hAnsi="David" w:cs="David"/>
                <w:sz w:val="23"/>
                <w:szCs w:val="23"/>
                <w:rtl/>
              </w:rPr>
            </w:pPr>
            <w:r w:rsidRPr="006038E9">
              <w:rPr>
                <w:rFonts w:ascii="David" w:hAnsi="David" w:cs="David"/>
                <w:sz w:val="23"/>
                <w:szCs w:val="23"/>
                <w:rtl/>
              </w:rPr>
              <w:t>אם כך</w:t>
            </w:r>
            <w:r w:rsidRPr="006038E9">
              <w:rPr>
                <w:rFonts w:ascii="David" w:hAnsi="David" w:cs="David" w:hint="cs"/>
                <w:sz w:val="23"/>
                <w:szCs w:val="23"/>
                <w:rtl/>
              </w:rPr>
              <w:t>,</w:t>
            </w:r>
            <w:r w:rsidRPr="006038E9">
              <w:rPr>
                <w:rFonts w:ascii="David" w:hAnsi="David" w:cs="David"/>
                <w:sz w:val="23"/>
                <w:szCs w:val="23"/>
                <w:rtl/>
              </w:rPr>
              <w:t xml:space="preserve"> למרות שפסוקנו מופיע בספרים העוסקים בתקופה הפרסית</w:t>
            </w:r>
            <w:r w:rsidRPr="006038E9">
              <w:rPr>
                <w:rFonts w:ascii="David" w:hAnsi="David" w:cs="David" w:hint="cs"/>
                <w:sz w:val="23"/>
                <w:szCs w:val="23"/>
                <w:rtl/>
              </w:rPr>
              <w:t>,</w:t>
            </w:r>
            <w:r w:rsidRPr="006038E9">
              <w:rPr>
                <w:rFonts w:ascii="David" w:hAnsi="David" w:cs="David"/>
                <w:sz w:val="23"/>
                <w:szCs w:val="23"/>
                <w:rtl/>
              </w:rPr>
              <w:t xml:space="preserve"> שהתרחשה כחמש מאות שנה לאחר תקופת שאול, הוא מזכיר במפורש גם את שמעי וגם את קיש ממשפחתו של שאול המלך</w:t>
            </w:r>
            <w:r w:rsidRPr="006038E9">
              <w:rPr>
                <w:rFonts w:ascii="David" w:hAnsi="David" w:cs="David" w:hint="cs"/>
                <w:sz w:val="23"/>
                <w:szCs w:val="23"/>
                <w:rtl/>
              </w:rPr>
              <w:t>,</w:t>
            </w:r>
            <w:r w:rsidRPr="006038E9">
              <w:rPr>
                <w:rFonts w:ascii="David" w:hAnsi="David" w:cs="David"/>
                <w:sz w:val="23"/>
                <w:szCs w:val="23"/>
                <w:rtl/>
              </w:rPr>
              <w:t xml:space="preserve"> שנחשב רוחנית לצאצא</w:t>
            </w:r>
            <w:r w:rsidRPr="006038E9">
              <w:rPr>
                <w:rFonts w:ascii="David" w:hAnsi="David" w:cs="David" w:hint="cs"/>
                <w:sz w:val="23"/>
                <w:szCs w:val="23"/>
                <w:rtl/>
              </w:rPr>
              <w:t>ו</w:t>
            </w:r>
            <w:r w:rsidRPr="006038E9">
              <w:rPr>
                <w:rFonts w:ascii="David" w:hAnsi="David" w:cs="David"/>
                <w:sz w:val="23"/>
                <w:szCs w:val="23"/>
                <w:rtl/>
              </w:rPr>
              <w:t xml:space="preserve"> של יוסף </w:t>
            </w:r>
            <w:r w:rsidRPr="00B448CD">
              <w:rPr>
                <w:rFonts w:ascii="David" w:hAnsi="David" w:cs="David"/>
                <w:sz w:val="20"/>
                <w:szCs w:val="20"/>
                <w:rtl/>
              </w:rPr>
              <w:t>(ואכמ"ל).</w:t>
            </w:r>
            <w:r w:rsidRPr="006038E9">
              <w:rPr>
                <w:rFonts w:ascii="David" w:hAnsi="David" w:cs="David"/>
                <w:sz w:val="23"/>
                <w:szCs w:val="23"/>
                <w:rtl/>
              </w:rPr>
              <w:t xml:space="preserve"> עובדה זו דורשת עיון ובירור. </w:t>
            </w:r>
          </w:p>
          <w:p w14:paraId="3FBA1816" w14:textId="77777777" w:rsidR="006038E9" w:rsidRPr="006038E9" w:rsidRDefault="006038E9" w:rsidP="00B448CD">
            <w:pPr>
              <w:rPr>
                <w:rFonts w:ascii="David" w:hAnsi="David" w:cs="David"/>
                <w:sz w:val="23"/>
                <w:szCs w:val="23"/>
                <w:rtl/>
              </w:rPr>
            </w:pPr>
            <w:r w:rsidRPr="006038E9">
              <w:rPr>
                <w:rFonts w:ascii="David" w:hAnsi="David" w:cs="David"/>
                <w:sz w:val="23"/>
                <w:szCs w:val="23"/>
                <w:rtl/>
              </w:rPr>
              <w:t xml:space="preserve">נחזור עתה לביטוי הפותח את הפסוק </w:t>
            </w:r>
            <w:r w:rsidRPr="006038E9">
              <w:rPr>
                <w:rFonts w:ascii="FrankRuehl" w:hAnsi="FrankRuehl" w:cs="FrankRuehl"/>
                <w:rtl/>
              </w:rPr>
              <w:t>"</w:t>
            </w:r>
            <w:r w:rsidRPr="006038E9">
              <w:rPr>
                <w:rFonts w:ascii="FrankRuehl" w:hAnsi="FrankRuehl" w:cs="FrankRuehl"/>
                <w:b/>
                <w:bCs/>
                <w:rtl/>
              </w:rPr>
              <w:t>אִישׁ</w:t>
            </w:r>
            <w:r w:rsidRPr="006038E9">
              <w:rPr>
                <w:rFonts w:ascii="FrankRuehl" w:hAnsi="FrankRuehl" w:cs="FrankRuehl"/>
                <w:rtl/>
              </w:rPr>
              <w:t xml:space="preserve"> יְהוּדִי".</w:t>
            </w:r>
            <w:r w:rsidRPr="006038E9">
              <w:rPr>
                <w:rFonts w:ascii="David" w:hAnsi="David" w:cs="David"/>
                <w:sz w:val="23"/>
                <w:szCs w:val="23"/>
                <w:rtl/>
              </w:rPr>
              <w:t xml:space="preserve"> בפשט</w:t>
            </w:r>
            <w:r w:rsidRPr="006038E9">
              <w:rPr>
                <w:rFonts w:ascii="David" w:hAnsi="David" w:cs="David" w:hint="cs"/>
                <w:sz w:val="23"/>
                <w:szCs w:val="23"/>
                <w:rtl/>
              </w:rPr>
              <w:t>,</w:t>
            </w:r>
            <w:r w:rsidRPr="006038E9">
              <w:rPr>
                <w:rFonts w:ascii="David" w:hAnsi="David" w:cs="David"/>
                <w:sz w:val="23"/>
                <w:szCs w:val="23"/>
                <w:rtl/>
              </w:rPr>
              <w:t xml:space="preserve"> משמעותו של ביטוי זה היא שמרדכי הוא צאצא של יהודה ולא של יוסף</w:t>
            </w:r>
            <w:r w:rsidRPr="006038E9">
              <w:rPr>
                <w:rFonts w:ascii="David" w:hAnsi="David" w:cs="David" w:hint="cs"/>
                <w:sz w:val="23"/>
                <w:szCs w:val="23"/>
                <w:rtl/>
              </w:rPr>
              <w:t>.</w:t>
            </w:r>
            <w:r w:rsidRPr="006038E9">
              <w:rPr>
                <w:rFonts w:ascii="David" w:hAnsi="David" w:cs="David"/>
                <w:sz w:val="23"/>
                <w:szCs w:val="23"/>
                <w:rtl/>
              </w:rPr>
              <w:t xml:space="preserve"> </w:t>
            </w:r>
            <w:r w:rsidRPr="006038E9">
              <w:rPr>
                <w:rFonts w:ascii="David" w:hAnsi="David" w:cs="David" w:hint="cs"/>
                <w:sz w:val="23"/>
                <w:szCs w:val="23"/>
                <w:rtl/>
              </w:rPr>
              <w:t>כלומר,</w:t>
            </w:r>
            <w:r w:rsidRPr="006038E9">
              <w:rPr>
                <w:rFonts w:ascii="David" w:hAnsi="David" w:cs="David"/>
                <w:sz w:val="23"/>
                <w:szCs w:val="23"/>
                <w:rtl/>
              </w:rPr>
              <w:t xml:space="preserve"> מרדכי הוא צאצא</w:t>
            </w:r>
            <w:r w:rsidRPr="006038E9">
              <w:rPr>
                <w:rFonts w:ascii="David" w:hAnsi="David" w:cs="David" w:hint="cs"/>
                <w:sz w:val="23"/>
                <w:szCs w:val="23"/>
                <w:rtl/>
              </w:rPr>
              <w:t>ה</w:t>
            </w:r>
            <w:r w:rsidRPr="006038E9">
              <w:rPr>
                <w:rFonts w:ascii="David" w:hAnsi="David" w:cs="David"/>
                <w:sz w:val="23"/>
                <w:szCs w:val="23"/>
                <w:rtl/>
              </w:rPr>
              <w:t xml:space="preserve"> של לאה ולא של רחל.</w:t>
            </w:r>
          </w:p>
          <w:p w14:paraId="613ACCBF" w14:textId="77777777" w:rsidR="006038E9" w:rsidRPr="006038E9" w:rsidRDefault="006038E9" w:rsidP="00B448CD">
            <w:pPr>
              <w:rPr>
                <w:rFonts w:ascii="David" w:hAnsi="David" w:cs="David"/>
                <w:sz w:val="23"/>
                <w:szCs w:val="23"/>
                <w:rtl/>
              </w:rPr>
            </w:pPr>
            <w:r w:rsidRPr="006038E9">
              <w:rPr>
                <w:rFonts w:ascii="David" w:hAnsi="David" w:cs="David"/>
                <w:sz w:val="23"/>
                <w:szCs w:val="23"/>
                <w:rtl/>
              </w:rPr>
              <w:t>הגמרא במסכת מגילה מקשה</w:t>
            </w:r>
            <w:r w:rsidRPr="006038E9">
              <w:rPr>
                <w:rFonts w:ascii="David" w:hAnsi="David" w:cs="David" w:hint="cs"/>
                <w:sz w:val="23"/>
                <w:szCs w:val="23"/>
                <w:rtl/>
              </w:rPr>
              <w:t>,</w:t>
            </w:r>
            <w:r w:rsidRPr="006038E9">
              <w:rPr>
                <w:rFonts w:ascii="David" w:hAnsi="David" w:cs="David"/>
                <w:sz w:val="23"/>
                <w:szCs w:val="23"/>
                <w:rtl/>
              </w:rPr>
              <w:t xml:space="preserve"> שהרי יש סתירה לכאורה בין הרישא של הפסוק </w:t>
            </w:r>
            <w:r w:rsidRPr="006038E9">
              <w:rPr>
                <w:rFonts w:ascii="FrankRuehl" w:hAnsi="FrankRuehl" w:cs="FrankRuehl"/>
                <w:rtl/>
              </w:rPr>
              <w:t>"</w:t>
            </w:r>
            <w:r w:rsidRPr="006038E9">
              <w:rPr>
                <w:rFonts w:ascii="FrankRuehl" w:hAnsi="FrankRuehl" w:cs="FrankRuehl"/>
                <w:b/>
                <w:bCs/>
                <w:rtl/>
              </w:rPr>
              <w:t>אִישׁ</w:t>
            </w:r>
            <w:r w:rsidRPr="006038E9">
              <w:rPr>
                <w:rFonts w:ascii="FrankRuehl" w:hAnsi="FrankRuehl" w:cs="FrankRuehl"/>
                <w:rtl/>
              </w:rPr>
              <w:t xml:space="preserve"> יְהוּדִי"</w:t>
            </w:r>
            <w:r w:rsidRPr="006038E9">
              <w:rPr>
                <w:rFonts w:ascii="David" w:hAnsi="David" w:cs="David"/>
                <w:sz w:val="23"/>
                <w:szCs w:val="23"/>
                <w:rtl/>
              </w:rPr>
              <w:t xml:space="preserve"> לסיפא שלו </w:t>
            </w:r>
            <w:r w:rsidRPr="006038E9">
              <w:rPr>
                <w:rFonts w:ascii="FrankRuehl" w:hAnsi="FrankRuehl" w:cs="FrankRuehl"/>
                <w:rtl/>
              </w:rPr>
              <w:t>"</w:t>
            </w:r>
            <w:r w:rsidRPr="006038E9">
              <w:rPr>
                <w:rFonts w:ascii="FrankRuehl" w:hAnsi="FrankRuehl" w:cs="FrankRuehl"/>
                <w:b/>
                <w:bCs/>
                <w:rtl/>
              </w:rPr>
              <w:t xml:space="preserve">אִישׁ </w:t>
            </w:r>
            <w:r w:rsidRPr="006038E9">
              <w:rPr>
                <w:rFonts w:ascii="FrankRuehl" w:hAnsi="FrankRuehl" w:cs="FrankRuehl"/>
                <w:rtl/>
              </w:rPr>
              <w:t>יְמִינִי".</w:t>
            </w:r>
            <w:r w:rsidRPr="006038E9">
              <w:rPr>
                <w:rFonts w:ascii="David" w:hAnsi="David" w:cs="David"/>
                <w:sz w:val="23"/>
                <w:szCs w:val="23"/>
                <w:rtl/>
              </w:rPr>
              <w:t xml:space="preserve"> וזה לשונה: "קרי ליה (למרדכי) יהודי - </w:t>
            </w:r>
            <w:proofErr w:type="spellStart"/>
            <w:r w:rsidRPr="006038E9">
              <w:rPr>
                <w:rFonts w:ascii="David" w:hAnsi="David" w:cs="David"/>
                <w:sz w:val="23"/>
                <w:szCs w:val="23"/>
                <w:rtl/>
              </w:rPr>
              <w:t>אלמא</w:t>
            </w:r>
            <w:proofErr w:type="spellEnd"/>
            <w:r w:rsidRPr="006038E9">
              <w:rPr>
                <w:rFonts w:ascii="David" w:hAnsi="David" w:cs="David"/>
                <w:sz w:val="23"/>
                <w:szCs w:val="23"/>
                <w:rtl/>
              </w:rPr>
              <w:t xml:space="preserve"> מיהודה </w:t>
            </w:r>
            <w:proofErr w:type="spellStart"/>
            <w:r w:rsidRPr="006038E9">
              <w:rPr>
                <w:rFonts w:ascii="David" w:hAnsi="David" w:cs="David"/>
                <w:sz w:val="23"/>
                <w:szCs w:val="23"/>
                <w:rtl/>
              </w:rPr>
              <w:t>קאתי</w:t>
            </w:r>
            <w:proofErr w:type="spellEnd"/>
            <w:r w:rsidRPr="006038E9">
              <w:rPr>
                <w:rFonts w:ascii="David" w:hAnsi="David" w:cs="David"/>
                <w:sz w:val="23"/>
                <w:szCs w:val="23"/>
                <w:rtl/>
              </w:rPr>
              <w:t xml:space="preserve"> (הוא בא), וקרי ליה ימיני - </w:t>
            </w:r>
            <w:proofErr w:type="spellStart"/>
            <w:r w:rsidRPr="006038E9">
              <w:rPr>
                <w:rFonts w:ascii="David" w:hAnsi="David" w:cs="David"/>
                <w:sz w:val="23"/>
                <w:szCs w:val="23"/>
                <w:rtl/>
              </w:rPr>
              <w:t>אלמא</w:t>
            </w:r>
            <w:proofErr w:type="spellEnd"/>
            <w:r w:rsidRPr="006038E9">
              <w:rPr>
                <w:rFonts w:ascii="David" w:hAnsi="David" w:cs="David"/>
                <w:sz w:val="23"/>
                <w:szCs w:val="23"/>
                <w:rtl/>
              </w:rPr>
              <w:t xml:space="preserve"> מבנימין </w:t>
            </w:r>
            <w:proofErr w:type="spellStart"/>
            <w:r w:rsidRPr="006038E9">
              <w:rPr>
                <w:rFonts w:ascii="David" w:hAnsi="David" w:cs="David"/>
                <w:sz w:val="23"/>
                <w:szCs w:val="23"/>
                <w:rtl/>
              </w:rPr>
              <w:t>קאתי</w:t>
            </w:r>
            <w:proofErr w:type="spellEnd"/>
            <w:r w:rsidRPr="006038E9">
              <w:rPr>
                <w:rFonts w:ascii="David" w:hAnsi="David" w:cs="David"/>
                <w:sz w:val="23"/>
                <w:szCs w:val="23"/>
                <w:rtl/>
              </w:rPr>
              <w:t>! (הוא בא)?" ומתרצת באחד התירוצים</w:t>
            </w:r>
            <w:r w:rsidRPr="006038E9">
              <w:rPr>
                <w:rFonts w:ascii="David" w:hAnsi="David" w:cs="David" w:hint="cs"/>
                <w:sz w:val="23"/>
                <w:szCs w:val="23"/>
                <w:rtl/>
              </w:rPr>
              <w:t>:</w:t>
            </w:r>
            <w:r w:rsidRPr="006038E9">
              <w:rPr>
                <w:rFonts w:ascii="David" w:hAnsi="David" w:cs="David"/>
                <w:sz w:val="23"/>
                <w:szCs w:val="23"/>
                <w:rtl/>
              </w:rPr>
              <w:t xml:space="preserve"> "אמר רבה בר </w:t>
            </w:r>
            <w:proofErr w:type="spellStart"/>
            <w:r w:rsidRPr="006038E9">
              <w:rPr>
                <w:rFonts w:ascii="David" w:hAnsi="David" w:cs="David"/>
                <w:sz w:val="23"/>
                <w:szCs w:val="23"/>
                <w:rtl/>
              </w:rPr>
              <w:t>בר</w:t>
            </w:r>
            <w:proofErr w:type="spellEnd"/>
            <w:r w:rsidRPr="006038E9">
              <w:rPr>
                <w:rFonts w:ascii="David" w:hAnsi="David" w:cs="David"/>
                <w:sz w:val="23"/>
                <w:szCs w:val="23"/>
                <w:rtl/>
              </w:rPr>
              <w:t xml:space="preserve"> חנה אמר רבי יהושע בן לוי: אביו מבנימין </w:t>
            </w:r>
            <w:proofErr w:type="spellStart"/>
            <w:r w:rsidRPr="006038E9">
              <w:rPr>
                <w:rFonts w:ascii="David" w:hAnsi="David" w:cs="David"/>
                <w:sz w:val="23"/>
                <w:szCs w:val="23"/>
                <w:rtl/>
              </w:rPr>
              <w:t>ואמו</w:t>
            </w:r>
            <w:proofErr w:type="spellEnd"/>
            <w:r w:rsidRPr="006038E9">
              <w:rPr>
                <w:rFonts w:ascii="David" w:hAnsi="David" w:cs="David"/>
                <w:sz w:val="23"/>
                <w:szCs w:val="23"/>
                <w:rtl/>
              </w:rPr>
              <w:t xml:space="preserve"> מיהודה" </w:t>
            </w:r>
            <w:r w:rsidRPr="006038E9">
              <w:rPr>
                <w:rFonts w:ascii="David" w:hAnsi="David" w:cs="David"/>
                <w:sz w:val="20"/>
                <w:szCs w:val="20"/>
                <w:rtl/>
              </w:rPr>
              <w:t xml:space="preserve">(דף </w:t>
            </w:r>
            <w:proofErr w:type="spellStart"/>
            <w:r w:rsidRPr="006038E9">
              <w:rPr>
                <w:rFonts w:ascii="David" w:hAnsi="David" w:cs="David"/>
                <w:sz w:val="20"/>
                <w:szCs w:val="20"/>
                <w:rtl/>
              </w:rPr>
              <w:t>יב</w:t>
            </w:r>
            <w:proofErr w:type="spellEnd"/>
            <w:r w:rsidRPr="006038E9">
              <w:rPr>
                <w:rFonts w:ascii="David" w:hAnsi="David" w:cs="David"/>
                <w:sz w:val="20"/>
                <w:szCs w:val="20"/>
                <w:rtl/>
              </w:rPr>
              <w:t xml:space="preserve"> ע"ב).</w:t>
            </w:r>
            <w:r w:rsidRPr="006038E9">
              <w:rPr>
                <w:rFonts w:ascii="David" w:hAnsi="David" w:cs="David"/>
                <w:sz w:val="23"/>
                <w:szCs w:val="23"/>
                <w:rtl/>
              </w:rPr>
              <w:t xml:space="preserve"> </w:t>
            </w:r>
          </w:p>
          <w:p w14:paraId="27CDA38A" w14:textId="77777777" w:rsidR="006038E9" w:rsidRPr="006038E9" w:rsidRDefault="006038E9" w:rsidP="00B448CD">
            <w:pPr>
              <w:rPr>
                <w:rFonts w:ascii="David" w:hAnsi="David" w:cs="David"/>
                <w:sz w:val="23"/>
                <w:szCs w:val="23"/>
                <w:rtl/>
              </w:rPr>
            </w:pPr>
            <w:r w:rsidRPr="006038E9">
              <w:rPr>
                <w:rFonts w:ascii="David" w:hAnsi="David" w:cs="David"/>
                <w:sz w:val="23"/>
                <w:szCs w:val="23"/>
                <w:rtl/>
              </w:rPr>
              <w:t>תירוץ זה קשה מאוד</w:t>
            </w:r>
            <w:r w:rsidRPr="006038E9">
              <w:rPr>
                <w:rFonts w:ascii="David" w:hAnsi="David" w:cs="David" w:hint="cs"/>
                <w:sz w:val="23"/>
                <w:szCs w:val="23"/>
                <w:rtl/>
              </w:rPr>
              <w:t>,</w:t>
            </w:r>
            <w:r w:rsidRPr="006038E9">
              <w:rPr>
                <w:rFonts w:ascii="David" w:hAnsi="David" w:cs="David"/>
                <w:sz w:val="23"/>
                <w:szCs w:val="23"/>
                <w:rtl/>
              </w:rPr>
              <w:t xml:space="preserve"> שהרי מאז ומתמיד השייכות לשבט נקבעת על פי האב ולא על פי האם, ולמה הוקדם כינוי של מרדכי לייחוסו מצד א</w:t>
            </w:r>
            <w:r w:rsidRPr="006038E9">
              <w:rPr>
                <w:rFonts w:ascii="David" w:hAnsi="David" w:cs="David" w:hint="cs"/>
                <w:sz w:val="23"/>
                <w:szCs w:val="23"/>
                <w:rtl/>
              </w:rPr>
              <w:t>י</w:t>
            </w:r>
            <w:r w:rsidRPr="006038E9">
              <w:rPr>
                <w:rFonts w:ascii="David" w:hAnsi="David" w:cs="David"/>
                <w:sz w:val="23"/>
                <w:szCs w:val="23"/>
                <w:rtl/>
              </w:rPr>
              <w:t xml:space="preserve">מו לייחוסו מצד אביו? (כ"תורת פורים" נתרץ שכבר כאן נקבע העיקרון של "ונהפוך הוא" המופיע במפורש לקראת סוף המגילה). בגלל קושי זה הגמרא </w:t>
            </w:r>
            <w:r w:rsidRPr="006038E9">
              <w:rPr>
                <w:rFonts w:ascii="David" w:hAnsi="David" w:cs="David"/>
                <w:sz w:val="20"/>
                <w:szCs w:val="20"/>
                <w:rtl/>
              </w:rPr>
              <w:t>(שם)</w:t>
            </w:r>
            <w:r w:rsidRPr="006038E9">
              <w:rPr>
                <w:rFonts w:ascii="David" w:hAnsi="David" w:cs="David"/>
                <w:sz w:val="23"/>
                <w:szCs w:val="23"/>
                <w:rtl/>
              </w:rPr>
              <w:t xml:space="preserve"> מביאה </w:t>
            </w:r>
            <w:r w:rsidRPr="006038E9">
              <w:rPr>
                <w:rFonts w:ascii="David" w:hAnsi="David" w:cs="David" w:hint="cs"/>
                <w:sz w:val="23"/>
                <w:szCs w:val="23"/>
                <w:rtl/>
              </w:rPr>
              <w:t xml:space="preserve">כנראה </w:t>
            </w:r>
            <w:r w:rsidRPr="006038E9">
              <w:rPr>
                <w:rFonts w:ascii="David" w:hAnsi="David" w:cs="David"/>
                <w:sz w:val="23"/>
                <w:szCs w:val="23"/>
                <w:rtl/>
              </w:rPr>
              <w:t xml:space="preserve">תירוץ נוסף בו היא מזהה את שני </w:t>
            </w:r>
            <w:r w:rsidRPr="006038E9">
              <w:rPr>
                <w:rFonts w:ascii="FrankRuehl" w:hAnsi="FrankRuehl" w:cs="FrankRuehl"/>
                <w:rtl/>
              </w:rPr>
              <w:t>ה</w:t>
            </w:r>
            <w:r w:rsidRPr="006038E9">
              <w:rPr>
                <w:rFonts w:ascii="FrankRuehl" w:hAnsi="FrankRuehl" w:cs="FrankRuehl"/>
                <w:b/>
                <w:bCs/>
                <w:rtl/>
              </w:rPr>
              <w:t>אִישׁ</w:t>
            </w:r>
            <w:r w:rsidRPr="006038E9">
              <w:rPr>
                <w:rFonts w:ascii="FrankRuehl" w:hAnsi="FrankRuehl" w:cs="FrankRuehl"/>
                <w:rtl/>
              </w:rPr>
              <w:t>ים</w:t>
            </w:r>
            <w:r w:rsidRPr="006038E9">
              <w:rPr>
                <w:rFonts w:ascii="David" w:hAnsi="David" w:cs="David"/>
                <w:sz w:val="23"/>
                <w:szCs w:val="23"/>
                <w:rtl/>
              </w:rPr>
              <w:t>, עם דוד המלך ושאול המלך. וזה לשונה</w:t>
            </w:r>
            <w:r w:rsidRPr="006038E9">
              <w:rPr>
                <w:rFonts w:ascii="David" w:hAnsi="David" w:cs="David" w:hint="cs"/>
                <w:sz w:val="23"/>
                <w:szCs w:val="23"/>
                <w:rtl/>
              </w:rPr>
              <w:t>:</w:t>
            </w:r>
            <w:r w:rsidRPr="006038E9">
              <w:rPr>
                <w:rFonts w:ascii="David" w:hAnsi="David" w:cs="David"/>
                <w:sz w:val="23"/>
                <w:szCs w:val="23"/>
                <w:rtl/>
              </w:rPr>
              <w:t xml:space="preserve"> "רבא אמר: כנסת ישראל אמרה </w:t>
            </w:r>
            <w:proofErr w:type="spellStart"/>
            <w:r w:rsidRPr="006038E9">
              <w:rPr>
                <w:rFonts w:ascii="David" w:hAnsi="David" w:cs="David"/>
                <w:sz w:val="23"/>
                <w:szCs w:val="23"/>
                <w:rtl/>
              </w:rPr>
              <w:t>לאידך</w:t>
            </w:r>
            <w:proofErr w:type="spellEnd"/>
            <w:r w:rsidRPr="006038E9">
              <w:rPr>
                <w:rFonts w:ascii="David" w:hAnsi="David" w:cs="David"/>
                <w:sz w:val="23"/>
                <w:szCs w:val="23"/>
                <w:rtl/>
              </w:rPr>
              <w:t xml:space="preserve"> גיסא: ראו מה עשה לי יהודי ומה שילם לי ימיני, מה עשה לי יהודי - דלא קטליה (הרג) </w:t>
            </w:r>
            <w:r w:rsidRPr="006038E9">
              <w:rPr>
                <w:rFonts w:ascii="David" w:hAnsi="David" w:cs="David"/>
                <w:b/>
                <w:bCs/>
                <w:sz w:val="23"/>
                <w:szCs w:val="23"/>
                <w:rtl/>
              </w:rPr>
              <w:t>דוד</w:t>
            </w:r>
            <w:r w:rsidRPr="006038E9">
              <w:rPr>
                <w:rFonts w:ascii="David" w:hAnsi="David" w:cs="David"/>
                <w:sz w:val="23"/>
                <w:szCs w:val="23"/>
                <w:rtl/>
              </w:rPr>
              <w:t xml:space="preserve"> לשמעי, </w:t>
            </w:r>
            <w:proofErr w:type="spellStart"/>
            <w:r w:rsidRPr="006038E9">
              <w:rPr>
                <w:rFonts w:ascii="David" w:hAnsi="David" w:cs="David"/>
                <w:sz w:val="23"/>
                <w:szCs w:val="23"/>
                <w:rtl/>
              </w:rPr>
              <w:t>דאיתיליד</w:t>
            </w:r>
            <w:proofErr w:type="spellEnd"/>
            <w:r w:rsidRPr="006038E9">
              <w:rPr>
                <w:rFonts w:ascii="David" w:hAnsi="David" w:cs="David"/>
                <w:sz w:val="23"/>
                <w:szCs w:val="23"/>
                <w:rtl/>
              </w:rPr>
              <w:t xml:space="preserve"> מיניה מרדכי, </w:t>
            </w:r>
            <w:proofErr w:type="spellStart"/>
            <w:r w:rsidRPr="006038E9">
              <w:rPr>
                <w:rFonts w:ascii="David" w:hAnsi="David" w:cs="David"/>
                <w:sz w:val="23"/>
                <w:szCs w:val="23"/>
                <w:rtl/>
              </w:rPr>
              <w:t>דמיקני</w:t>
            </w:r>
            <w:proofErr w:type="spellEnd"/>
            <w:r w:rsidRPr="006038E9">
              <w:rPr>
                <w:rFonts w:ascii="David" w:hAnsi="David" w:cs="David"/>
                <w:sz w:val="23"/>
                <w:szCs w:val="23"/>
                <w:rtl/>
              </w:rPr>
              <w:t xml:space="preserve"> ביה המן. ומה שילם לי ימיני - דלא קטליה (הרג) </w:t>
            </w:r>
            <w:r w:rsidRPr="006038E9">
              <w:rPr>
                <w:rFonts w:ascii="David" w:hAnsi="David" w:cs="David"/>
                <w:b/>
                <w:bCs/>
                <w:sz w:val="23"/>
                <w:szCs w:val="23"/>
                <w:rtl/>
              </w:rPr>
              <w:t xml:space="preserve">שאול </w:t>
            </w:r>
            <w:proofErr w:type="spellStart"/>
            <w:r w:rsidRPr="006038E9">
              <w:rPr>
                <w:rFonts w:ascii="David" w:hAnsi="David" w:cs="David"/>
                <w:sz w:val="23"/>
                <w:szCs w:val="23"/>
                <w:rtl/>
              </w:rPr>
              <w:t>לאגג</w:t>
            </w:r>
            <w:proofErr w:type="spellEnd"/>
            <w:r w:rsidRPr="006038E9">
              <w:rPr>
                <w:rFonts w:ascii="David" w:hAnsi="David" w:cs="David"/>
                <w:sz w:val="23"/>
                <w:szCs w:val="23"/>
                <w:rtl/>
              </w:rPr>
              <w:t xml:space="preserve">, </w:t>
            </w:r>
            <w:proofErr w:type="spellStart"/>
            <w:r w:rsidRPr="006038E9">
              <w:rPr>
                <w:rFonts w:ascii="David" w:hAnsi="David" w:cs="David"/>
                <w:sz w:val="23"/>
                <w:szCs w:val="23"/>
                <w:rtl/>
              </w:rPr>
              <w:t>דאיתיליד</w:t>
            </w:r>
            <w:proofErr w:type="spellEnd"/>
            <w:r w:rsidRPr="006038E9">
              <w:rPr>
                <w:rFonts w:ascii="David" w:hAnsi="David" w:cs="David"/>
                <w:sz w:val="23"/>
                <w:szCs w:val="23"/>
                <w:rtl/>
              </w:rPr>
              <w:t xml:space="preserve"> מיניה המן, </w:t>
            </w:r>
            <w:proofErr w:type="spellStart"/>
            <w:r w:rsidRPr="006038E9">
              <w:rPr>
                <w:rFonts w:ascii="David" w:hAnsi="David" w:cs="David"/>
                <w:sz w:val="23"/>
                <w:szCs w:val="23"/>
                <w:rtl/>
              </w:rPr>
              <w:t>דמצער</w:t>
            </w:r>
            <w:proofErr w:type="spellEnd"/>
            <w:r w:rsidRPr="006038E9">
              <w:rPr>
                <w:rFonts w:ascii="David" w:hAnsi="David" w:cs="David"/>
                <w:sz w:val="23"/>
                <w:szCs w:val="23"/>
                <w:rtl/>
              </w:rPr>
              <w:t xml:space="preserve"> לישראל". </w:t>
            </w:r>
          </w:p>
          <w:p w14:paraId="1707AB0B" w14:textId="77777777" w:rsidR="006038E9" w:rsidRPr="006038E9" w:rsidRDefault="006038E9" w:rsidP="00B448CD">
            <w:pPr>
              <w:rPr>
                <w:rFonts w:ascii="David" w:hAnsi="David" w:cs="David"/>
                <w:sz w:val="23"/>
                <w:szCs w:val="23"/>
                <w:rtl/>
              </w:rPr>
            </w:pPr>
            <w:r w:rsidRPr="006038E9">
              <w:rPr>
                <w:rFonts w:ascii="David" w:hAnsi="David" w:cs="David"/>
                <w:sz w:val="23"/>
                <w:szCs w:val="23"/>
                <w:rtl/>
              </w:rPr>
              <w:t>לפי דברי רבא דוד המלך מופיע במגילת אסתר, כיאה לפורים בתחפושת.</w:t>
            </w:r>
          </w:p>
          <w:p w14:paraId="1C398A88" w14:textId="78853852" w:rsidR="006038E9" w:rsidRPr="006038E9" w:rsidRDefault="006038E9" w:rsidP="00B448CD">
            <w:pPr>
              <w:rPr>
                <w:rFonts w:ascii="David" w:hAnsi="David" w:cs="David"/>
                <w:sz w:val="23"/>
                <w:szCs w:val="23"/>
                <w:rtl/>
              </w:rPr>
            </w:pPr>
            <w:r w:rsidRPr="006038E9">
              <w:rPr>
                <w:rFonts w:ascii="David" w:hAnsi="David" w:cs="David"/>
                <w:sz w:val="23"/>
                <w:szCs w:val="23"/>
                <w:rtl/>
              </w:rPr>
              <w:t>גילויו של דוד במגילת אסתר הוא חלק מתופעה כללית</w:t>
            </w:r>
            <w:r w:rsidRPr="006038E9">
              <w:rPr>
                <w:rFonts w:ascii="David" w:hAnsi="David" w:cs="David" w:hint="cs"/>
                <w:sz w:val="23"/>
                <w:szCs w:val="23"/>
                <w:rtl/>
              </w:rPr>
              <w:t>,</w:t>
            </w:r>
            <w:r w:rsidRPr="006038E9">
              <w:rPr>
                <w:rFonts w:ascii="David" w:hAnsi="David" w:cs="David"/>
                <w:sz w:val="23"/>
                <w:szCs w:val="23"/>
                <w:rtl/>
              </w:rPr>
              <w:t xml:space="preserve"> שהופכת את דוד שני רק למשה רבנו. אם משה הוא הדמות המרכזית בתורה</w:t>
            </w:r>
            <w:r w:rsidRPr="006038E9">
              <w:rPr>
                <w:rFonts w:ascii="David" w:hAnsi="David" w:cs="David" w:hint="cs"/>
                <w:sz w:val="23"/>
                <w:szCs w:val="23"/>
                <w:rtl/>
              </w:rPr>
              <w:t>,</w:t>
            </w:r>
            <w:r w:rsidRPr="006038E9">
              <w:rPr>
                <w:rFonts w:ascii="David" w:hAnsi="David" w:cs="David"/>
                <w:sz w:val="23"/>
                <w:szCs w:val="23"/>
                <w:rtl/>
              </w:rPr>
              <w:t xml:space="preserve"> דוד הוא האיש המרכזי בנ"ך (הוכחות נוספות, מופיעות בספרי צפנת שמואל-מלכות דוד </w:t>
            </w:r>
            <w:r w:rsidRPr="006038E9">
              <w:rPr>
                <w:rFonts w:ascii="David" w:hAnsi="David" w:cs="David" w:hint="cs"/>
                <w:sz w:val="23"/>
                <w:szCs w:val="23"/>
                <w:rtl/>
              </w:rPr>
              <w:t xml:space="preserve">(3 כרכים) </w:t>
            </w:r>
            <w:r w:rsidRPr="006038E9">
              <w:rPr>
                <w:rFonts w:ascii="David" w:hAnsi="David" w:cs="David"/>
                <w:sz w:val="23"/>
                <w:szCs w:val="23"/>
                <w:rtl/>
              </w:rPr>
              <w:t>הנמצא ב"ה בבית הדפוס, על השקתו נכריז</w:t>
            </w:r>
            <w:r>
              <w:rPr>
                <w:rFonts w:ascii="David" w:hAnsi="David" w:cs="David" w:hint="cs"/>
                <w:sz w:val="23"/>
                <w:szCs w:val="23"/>
                <w:rtl/>
              </w:rPr>
              <w:t>,</w:t>
            </w:r>
            <w:r w:rsidRPr="006038E9">
              <w:rPr>
                <w:rFonts w:ascii="David" w:hAnsi="David" w:cs="David"/>
                <w:sz w:val="23"/>
                <w:szCs w:val="23"/>
                <w:rtl/>
              </w:rPr>
              <w:t xml:space="preserve"> בע"ה</w:t>
            </w:r>
            <w:r>
              <w:rPr>
                <w:rFonts w:ascii="David" w:hAnsi="David" w:cs="David" w:hint="cs"/>
                <w:sz w:val="23"/>
                <w:szCs w:val="23"/>
                <w:rtl/>
              </w:rPr>
              <w:t>,</w:t>
            </w:r>
            <w:r w:rsidRPr="006038E9">
              <w:rPr>
                <w:rFonts w:ascii="David" w:hAnsi="David" w:cs="David"/>
                <w:sz w:val="23"/>
                <w:szCs w:val="23"/>
                <w:rtl/>
              </w:rPr>
              <w:t xml:space="preserve"> אחרי פסח). </w:t>
            </w:r>
          </w:p>
          <w:p w14:paraId="66844C76" w14:textId="77777777" w:rsidR="006038E9" w:rsidRPr="006038E9" w:rsidRDefault="006038E9" w:rsidP="00B448CD">
            <w:pPr>
              <w:rPr>
                <w:rFonts w:ascii="David" w:hAnsi="David" w:cs="David"/>
                <w:sz w:val="23"/>
                <w:szCs w:val="23"/>
                <w:rtl/>
              </w:rPr>
            </w:pPr>
            <w:r w:rsidRPr="006038E9">
              <w:rPr>
                <w:rFonts w:ascii="David" w:hAnsi="David" w:cs="David"/>
                <w:sz w:val="23"/>
                <w:szCs w:val="23"/>
                <w:rtl/>
              </w:rPr>
              <w:t>משה רבנו הוציא את ישראל ממצרים ונתן להם</w:t>
            </w:r>
            <w:r w:rsidRPr="006038E9">
              <w:rPr>
                <w:rFonts w:ascii="David" w:hAnsi="David" w:cs="David" w:hint="cs"/>
                <w:sz w:val="23"/>
                <w:szCs w:val="23"/>
                <w:rtl/>
              </w:rPr>
              <w:t>,</w:t>
            </w:r>
            <w:r w:rsidRPr="006038E9">
              <w:rPr>
                <w:rFonts w:ascii="David" w:hAnsi="David" w:cs="David"/>
                <w:sz w:val="23"/>
                <w:szCs w:val="23"/>
                <w:rtl/>
              </w:rPr>
              <w:t xml:space="preserve"> כבני חורין</w:t>
            </w:r>
            <w:r w:rsidRPr="006038E9">
              <w:rPr>
                <w:rFonts w:ascii="David" w:hAnsi="David" w:cs="David" w:hint="cs"/>
                <w:sz w:val="23"/>
                <w:szCs w:val="23"/>
                <w:rtl/>
              </w:rPr>
              <w:t>,</w:t>
            </w:r>
            <w:r w:rsidRPr="006038E9">
              <w:rPr>
                <w:rFonts w:ascii="David" w:hAnsi="David" w:cs="David"/>
                <w:sz w:val="23"/>
                <w:szCs w:val="23"/>
                <w:rtl/>
              </w:rPr>
              <w:t xml:space="preserve"> את התורה. משה לא זכה להכניס את עם ישראל לארץ ישראל (המערבית) ולא זכה להקים מדינה יהודית-ישראלית עצמאית שם. </w:t>
            </w:r>
            <w:r w:rsidRPr="006038E9">
              <w:rPr>
                <w:rFonts w:ascii="David" w:hAnsi="David" w:cs="David" w:hint="cs"/>
                <w:sz w:val="23"/>
                <w:szCs w:val="23"/>
                <w:rtl/>
              </w:rPr>
              <w:t xml:space="preserve">עם ישראל </w:t>
            </w:r>
            <w:r w:rsidRPr="006038E9">
              <w:rPr>
                <w:rFonts w:ascii="David" w:hAnsi="David" w:cs="David"/>
                <w:sz w:val="23"/>
                <w:szCs w:val="23"/>
                <w:rtl/>
              </w:rPr>
              <w:t>עבד את הקב"ה</w:t>
            </w:r>
            <w:r w:rsidRPr="006038E9">
              <w:rPr>
                <w:rFonts w:ascii="David" w:hAnsi="David" w:cs="David" w:hint="cs"/>
                <w:sz w:val="23"/>
                <w:szCs w:val="23"/>
                <w:rtl/>
              </w:rPr>
              <w:t>,</w:t>
            </w:r>
            <w:r w:rsidRPr="006038E9">
              <w:rPr>
                <w:rFonts w:ascii="David" w:hAnsi="David" w:cs="David"/>
                <w:sz w:val="23"/>
                <w:szCs w:val="23"/>
                <w:rtl/>
              </w:rPr>
              <w:t xml:space="preserve"> עד ימי דוד</w:t>
            </w:r>
            <w:r w:rsidRPr="006038E9">
              <w:rPr>
                <w:rFonts w:ascii="David" w:hAnsi="David" w:cs="David" w:hint="cs"/>
                <w:sz w:val="23"/>
                <w:szCs w:val="23"/>
                <w:rtl/>
              </w:rPr>
              <w:t>,</w:t>
            </w:r>
            <w:r w:rsidRPr="006038E9">
              <w:rPr>
                <w:rFonts w:ascii="David" w:hAnsi="David" w:cs="David"/>
                <w:sz w:val="23"/>
                <w:szCs w:val="23"/>
                <w:rtl/>
              </w:rPr>
              <w:t xml:space="preserve"> כפרטים (רוב הזמן ומרוב הבחינות). דוד הפך אותנו</w:t>
            </w:r>
            <w:r w:rsidRPr="006038E9">
              <w:rPr>
                <w:rFonts w:ascii="David" w:hAnsi="David" w:cs="David" w:hint="cs"/>
                <w:sz w:val="23"/>
                <w:szCs w:val="23"/>
                <w:rtl/>
              </w:rPr>
              <w:t>,</w:t>
            </w:r>
            <w:r w:rsidRPr="006038E9">
              <w:rPr>
                <w:rFonts w:ascii="David" w:hAnsi="David" w:cs="David"/>
                <w:sz w:val="23"/>
                <w:szCs w:val="23"/>
                <w:rtl/>
              </w:rPr>
              <w:t xml:space="preserve"> מבחינה לאומית</w:t>
            </w:r>
            <w:r w:rsidRPr="006038E9">
              <w:rPr>
                <w:rFonts w:ascii="David" w:hAnsi="David" w:cs="David" w:hint="cs"/>
                <w:sz w:val="23"/>
                <w:szCs w:val="23"/>
                <w:rtl/>
              </w:rPr>
              <w:t>,</w:t>
            </w:r>
            <w:r w:rsidRPr="006038E9">
              <w:rPr>
                <w:rFonts w:ascii="David" w:hAnsi="David" w:cs="David"/>
                <w:sz w:val="23"/>
                <w:szCs w:val="23"/>
                <w:rtl/>
              </w:rPr>
              <w:t xml:space="preserve"> לעם שעובד את הקב"ה כציבור בעל זהות לאומית. אפשר לעשות זאת רק אחרי שיש מלך שמאחד את העם</w:t>
            </w:r>
            <w:r w:rsidRPr="006038E9">
              <w:rPr>
                <w:rFonts w:ascii="David" w:hAnsi="David" w:cs="David" w:hint="cs"/>
                <w:sz w:val="23"/>
                <w:szCs w:val="23"/>
                <w:rtl/>
              </w:rPr>
              <w:t>,</w:t>
            </w:r>
            <w:r w:rsidRPr="006038E9">
              <w:rPr>
                <w:rFonts w:ascii="David" w:hAnsi="David" w:cs="David"/>
                <w:sz w:val="23"/>
                <w:szCs w:val="23"/>
                <w:rtl/>
              </w:rPr>
              <w:t xml:space="preserve"> ורק הוא</w:t>
            </w:r>
            <w:r w:rsidRPr="006038E9">
              <w:rPr>
                <w:rFonts w:ascii="David" w:hAnsi="David" w:cs="David" w:hint="cs"/>
                <w:sz w:val="23"/>
                <w:szCs w:val="23"/>
                <w:rtl/>
              </w:rPr>
              <w:t>-</w:t>
            </w:r>
            <w:r w:rsidRPr="006038E9">
              <w:rPr>
                <w:rFonts w:ascii="David" w:hAnsi="David" w:cs="David"/>
                <w:sz w:val="23"/>
                <w:szCs w:val="23"/>
                <w:rtl/>
              </w:rPr>
              <w:t>המלך יכול לבנות את המרכז הרוחני של עם ישראל, (ולעתיד לב</w:t>
            </w:r>
            <w:r w:rsidRPr="006038E9">
              <w:rPr>
                <w:rFonts w:ascii="David" w:hAnsi="David" w:cs="David" w:hint="cs"/>
                <w:sz w:val="23"/>
                <w:szCs w:val="23"/>
                <w:rtl/>
              </w:rPr>
              <w:t>ו</w:t>
            </w:r>
            <w:r w:rsidRPr="006038E9">
              <w:rPr>
                <w:rFonts w:ascii="David" w:hAnsi="David" w:cs="David"/>
                <w:sz w:val="23"/>
                <w:szCs w:val="23"/>
                <w:rtl/>
              </w:rPr>
              <w:t>א של כל אומות העולם) בירושלים, בהר הבית</w:t>
            </w:r>
            <w:r w:rsidRPr="006038E9">
              <w:rPr>
                <w:rFonts w:ascii="David" w:hAnsi="David" w:cs="David" w:hint="cs"/>
                <w:sz w:val="23"/>
                <w:szCs w:val="23"/>
                <w:rtl/>
              </w:rPr>
              <w:t>,</w:t>
            </w:r>
            <w:r w:rsidRPr="006038E9">
              <w:rPr>
                <w:rFonts w:ascii="David" w:hAnsi="David" w:cs="David"/>
                <w:sz w:val="23"/>
                <w:szCs w:val="23"/>
                <w:rtl/>
              </w:rPr>
              <w:t xml:space="preserve"> </w:t>
            </w:r>
            <w:r w:rsidRPr="006038E9">
              <w:rPr>
                <w:rFonts w:ascii="FrankRuehl" w:hAnsi="FrankRuehl" w:cs="FrankRuehl"/>
                <w:rtl/>
              </w:rPr>
              <w:t xml:space="preserve">הַמָּקוֹם אֲשֶׁר יִבְחַר ה' </w:t>
            </w:r>
            <w:proofErr w:type="spellStart"/>
            <w:r w:rsidRPr="006038E9">
              <w:rPr>
                <w:rFonts w:ascii="FrankRuehl" w:hAnsi="FrankRuehl" w:cs="FrankRuehl"/>
                <w:rtl/>
              </w:rPr>
              <w:t>אֱלֹהֵיכֶם</w:t>
            </w:r>
            <w:proofErr w:type="spellEnd"/>
            <w:r w:rsidRPr="006038E9">
              <w:rPr>
                <w:rFonts w:ascii="David" w:hAnsi="David" w:cs="David"/>
                <w:sz w:val="23"/>
                <w:szCs w:val="23"/>
                <w:rtl/>
              </w:rPr>
              <w:t xml:space="preserve"> </w:t>
            </w:r>
            <w:r w:rsidRPr="006038E9">
              <w:rPr>
                <w:rFonts w:ascii="David" w:hAnsi="David" w:cs="David"/>
                <w:sz w:val="20"/>
                <w:szCs w:val="20"/>
                <w:rtl/>
              </w:rPr>
              <w:t xml:space="preserve">(דברים </w:t>
            </w:r>
            <w:proofErr w:type="spellStart"/>
            <w:r w:rsidRPr="006038E9">
              <w:rPr>
                <w:rFonts w:ascii="David" w:hAnsi="David" w:cs="David"/>
                <w:sz w:val="20"/>
                <w:szCs w:val="20"/>
                <w:rtl/>
              </w:rPr>
              <w:t>יב</w:t>
            </w:r>
            <w:proofErr w:type="spellEnd"/>
            <w:r w:rsidRPr="006038E9">
              <w:rPr>
                <w:rFonts w:ascii="David" w:hAnsi="David" w:cs="David"/>
                <w:sz w:val="20"/>
                <w:szCs w:val="20"/>
                <w:rtl/>
              </w:rPr>
              <w:t>, ה)</w:t>
            </w:r>
            <w:r w:rsidRPr="006038E9">
              <w:rPr>
                <w:rFonts w:ascii="David" w:hAnsi="David" w:cs="David"/>
                <w:sz w:val="23"/>
                <w:szCs w:val="23"/>
                <w:rtl/>
              </w:rPr>
              <w:t xml:space="preserve"> </w:t>
            </w:r>
            <w:r w:rsidRPr="006038E9">
              <w:rPr>
                <w:rFonts w:ascii="David" w:hAnsi="David" w:cs="David" w:hint="cs"/>
                <w:sz w:val="23"/>
                <w:szCs w:val="23"/>
                <w:rtl/>
              </w:rPr>
              <w:t xml:space="preserve">(כיום יכולה ממשלה לקבל את סמכויות המלך- הראי"ה). </w:t>
            </w:r>
            <w:r w:rsidRPr="006038E9">
              <w:rPr>
                <w:rFonts w:ascii="David" w:hAnsi="David" w:cs="David"/>
                <w:sz w:val="23"/>
                <w:szCs w:val="23"/>
                <w:rtl/>
              </w:rPr>
              <w:t>הצלחתו של דוד הייתה תלויה באיחודו של כל עם ישראל</w:t>
            </w:r>
            <w:r w:rsidRPr="006038E9">
              <w:rPr>
                <w:rFonts w:ascii="David" w:hAnsi="David" w:cs="David" w:hint="cs"/>
                <w:sz w:val="23"/>
                <w:szCs w:val="23"/>
                <w:rtl/>
              </w:rPr>
              <w:t>,</w:t>
            </w:r>
            <w:r w:rsidRPr="006038E9">
              <w:rPr>
                <w:rFonts w:ascii="David" w:hAnsi="David" w:cs="David"/>
                <w:sz w:val="23"/>
                <w:szCs w:val="23"/>
                <w:rtl/>
              </w:rPr>
              <w:t xml:space="preserve"> על כל חלקיו</w:t>
            </w:r>
            <w:r w:rsidRPr="006038E9">
              <w:rPr>
                <w:rFonts w:ascii="David" w:hAnsi="David" w:cs="David" w:hint="cs"/>
                <w:sz w:val="23"/>
                <w:szCs w:val="23"/>
                <w:rtl/>
              </w:rPr>
              <w:t>,</w:t>
            </w:r>
            <w:r w:rsidRPr="006038E9">
              <w:rPr>
                <w:rFonts w:ascii="David" w:hAnsi="David" w:cs="David"/>
                <w:sz w:val="23"/>
                <w:szCs w:val="23"/>
                <w:rtl/>
              </w:rPr>
              <w:t xml:space="preserve"> לעם אחד שמרכזו בעיר </w:t>
            </w:r>
            <w:r w:rsidRPr="006038E9">
              <w:rPr>
                <w:rFonts w:ascii="FrankRuehl" w:hAnsi="FrankRuehl" w:cs="FrankRuehl"/>
                <w:rtl/>
              </w:rPr>
              <w:t>שֶׁחֻבְּרָה לָּהּ יַחְדָּו</w:t>
            </w:r>
            <w:r w:rsidRPr="006038E9">
              <w:rPr>
                <w:rFonts w:ascii="David" w:hAnsi="David" w:cs="David"/>
                <w:sz w:val="23"/>
                <w:szCs w:val="23"/>
                <w:rtl/>
              </w:rPr>
              <w:t xml:space="preserve"> </w:t>
            </w:r>
            <w:r w:rsidRPr="006038E9">
              <w:rPr>
                <w:rFonts w:ascii="David" w:hAnsi="David" w:cs="David"/>
                <w:sz w:val="20"/>
                <w:szCs w:val="20"/>
                <w:rtl/>
              </w:rPr>
              <w:t xml:space="preserve">(תהלים </w:t>
            </w:r>
            <w:proofErr w:type="spellStart"/>
            <w:r w:rsidRPr="006038E9">
              <w:rPr>
                <w:rFonts w:ascii="David" w:hAnsi="David" w:cs="David"/>
                <w:sz w:val="20"/>
                <w:szCs w:val="20"/>
                <w:rtl/>
              </w:rPr>
              <w:t>קכב</w:t>
            </w:r>
            <w:proofErr w:type="spellEnd"/>
            <w:r w:rsidRPr="006038E9">
              <w:rPr>
                <w:rFonts w:ascii="David" w:hAnsi="David" w:cs="David"/>
                <w:sz w:val="20"/>
                <w:szCs w:val="20"/>
                <w:rtl/>
              </w:rPr>
              <w:t>, ג),</w:t>
            </w:r>
            <w:r w:rsidRPr="006038E9">
              <w:rPr>
                <w:rFonts w:ascii="David" w:hAnsi="David" w:cs="David"/>
                <w:sz w:val="23"/>
                <w:szCs w:val="23"/>
                <w:rtl/>
              </w:rPr>
              <w:t xml:space="preserve"> </w:t>
            </w:r>
            <w:r w:rsidRPr="006038E9">
              <w:rPr>
                <w:rFonts w:ascii="FrankRuehl" w:hAnsi="FrankRuehl" w:cs="FrankRuehl"/>
                <w:rtl/>
              </w:rPr>
              <w:t>שָׁמָּה יָשְׁבוּ כִסְאוֹת לְמִשְׁפָּט</w:t>
            </w:r>
            <w:r w:rsidRPr="006038E9">
              <w:rPr>
                <w:rFonts w:ascii="David" w:hAnsi="David" w:cs="David"/>
                <w:sz w:val="23"/>
                <w:szCs w:val="23"/>
                <w:rtl/>
              </w:rPr>
              <w:t xml:space="preserve"> </w:t>
            </w:r>
            <w:r w:rsidRPr="006038E9">
              <w:rPr>
                <w:rFonts w:ascii="David" w:hAnsi="David" w:cs="David"/>
                <w:sz w:val="20"/>
                <w:szCs w:val="20"/>
                <w:rtl/>
              </w:rPr>
              <w:t>(שם, שם ה).</w:t>
            </w:r>
            <w:r w:rsidRPr="006038E9">
              <w:rPr>
                <w:rFonts w:ascii="David" w:hAnsi="David" w:cs="David"/>
                <w:sz w:val="23"/>
                <w:szCs w:val="23"/>
                <w:rtl/>
              </w:rPr>
              <w:t xml:space="preserve"> </w:t>
            </w:r>
          </w:p>
          <w:p w14:paraId="7C762886" w14:textId="1C5099FA" w:rsidR="006038E9" w:rsidRDefault="006038E9" w:rsidP="00B448CD">
            <w:pPr>
              <w:rPr>
                <w:rFonts w:ascii="David" w:hAnsi="David" w:cs="David"/>
                <w:sz w:val="23"/>
                <w:szCs w:val="23"/>
                <w:rtl/>
              </w:rPr>
            </w:pPr>
            <w:r w:rsidRPr="006038E9">
              <w:rPr>
                <w:rFonts w:ascii="David" w:hAnsi="David" w:cs="David"/>
                <w:sz w:val="23"/>
                <w:szCs w:val="23"/>
                <w:rtl/>
              </w:rPr>
              <w:t>מרדכי ואסתר הצליחו לאחד את כל העם</w:t>
            </w:r>
            <w:r w:rsidRPr="006038E9">
              <w:rPr>
                <w:rFonts w:ascii="David" w:hAnsi="David" w:cs="David" w:hint="cs"/>
                <w:sz w:val="23"/>
                <w:szCs w:val="23"/>
                <w:rtl/>
              </w:rPr>
              <w:t xml:space="preserve"> -</w:t>
            </w:r>
            <w:r w:rsidRPr="006038E9">
              <w:rPr>
                <w:rFonts w:ascii="David" w:hAnsi="David" w:cs="David"/>
                <w:sz w:val="23"/>
                <w:szCs w:val="23"/>
                <w:rtl/>
              </w:rPr>
              <w:t xml:space="preserve"> </w:t>
            </w:r>
            <w:r w:rsidRPr="006038E9">
              <w:rPr>
                <w:rFonts w:ascii="FrankRuehl" w:hAnsi="FrankRuehl" w:cs="FrankRuehl"/>
                <w:rtl/>
              </w:rPr>
              <w:t>לֵךְ כְּנוֹס אֶת כָּל הַיְּהוּדִים</w:t>
            </w:r>
            <w:r w:rsidRPr="006038E9">
              <w:rPr>
                <w:rFonts w:ascii="David" w:hAnsi="David" w:cs="David"/>
                <w:sz w:val="20"/>
                <w:szCs w:val="20"/>
                <w:rtl/>
              </w:rPr>
              <w:t xml:space="preserve"> (אסתר ד, </w:t>
            </w:r>
            <w:proofErr w:type="spellStart"/>
            <w:r w:rsidRPr="006038E9">
              <w:rPr>
                <w:rFonts w:ascii="David" w:hAnsi="David" w:cs="David"/>
                <w:sz w:val="20"/>
                <w:szCs w:val="20"/>
                <w:rtl/>
              </w:rPr>
              <w:t>טז</w:t>
            </w:r>
            <w:proofErr w:type="spellEnd"/>
            <w:r w:rsidRPr="006038E9">
              <w:rPr>
                <w:rFonts w:ascii="David" w:hAnsi="David" w:cs="David"/>
                <w:sz w:val="20"/>
                <w:szCs w:val="20"/>
                <w:rtl/>
              </w:rPr>
              <w:t>)</w:t>
            </w:r>
            <w:r w:rsidRPr="006038E9">
              <w:rPr>
                <w:rFonts w:ascii="David" w:hAnsi="David" w:cs="David"/>
                <w:sz w:val="23"/>
                <w:szCs w:val="23"/>
                <w:rtl/>
              </w:rPr>
              <w:t xml:space="preserve"> </w:t>
            </w:r>
            <w:r w:rsidRPr="006038E9">
              <w:rPr>
                <w:rFonts w:ascii="David" w:hAnsi="David" w:cs="David" w:hint="cs"/>
                <w:sz w:val="23"/>
                <w:szCs w:val="23"/>
                <w:rtl/>
              </w:rPr>
              <w:t>,</w:t>
            </w:r>
            <w:r w:rsidRPr="006038E9">
              <w:rPr>
                <w:rFonts w:ascii="David" w:hAnsi="David" w:cs="David"/>
                <w:sz w:val="23"/>
                <w:szCs w:val="23"/>
                <w:rtl/>
              </w:rPr>
              <w:t>ולכן הם זכו להצלה. לצערנו הם לא הצליחו להביא את עם ישראל חזרה לארץ ישראל</w:t>
            </w:r>
            <w:r w:rsidRPr="006038E9">
              <w:rPr>
                <w:rFonts w:ascii="David" w:hAnsi="David" w:cs="David" w:hint="cs"/>
                <w:sz w:val="23"/>
                <w:szCs w:val="23"/>
                <w:rtl/>
              </w:rPr>
              <w:t>,</w:t>
            </w:r>
            <w:r w:rsidRPr="006038E9">
              <w:rPr>
                <w:rFonts w:ascii="David" w:hAnsi="David" w:cs="David"/>
                <w:sz w:val="23"/>
                <w:szCs w:val="23"/>
                <w:rtl/>
              </w:rPr>
              <w:t xml:space="preserve"> ונשארנו עבדי אחש</w:t>
            </w:r>
            <w:r w:rsidRPr="006038E9">
              <w:rPr>
                <w:rFonts w:ascii="David" w:hAnsi="David" w:cs="David" w:hint="cs"/>
                <w:sz w:val="23"/>
                <w:szCs w:val="23"/>
                <w:rtl/>
              </w:rPr>
              <w:t>ו</w:t>
            </w:r>
            <w:r w:rsidRPr="006038E9">
              <w:rPr>
                <w:rFonts w:ascii="David" w:hAnsi="David" w:cs="David"/>
                <w:sz w:val="23"/>
                <w:szCs w:val="23"/>
                <w:rtl/>
              </w:rPr>
              <w:t xml:space="preserve">ורוש </w:t>
            </w:r>
            <w:r w:rsidRPr="006038E9">
              <w:rPr>
                <w:rFonts w:ascii="David" w:hAnsi="David" w:cs="David"/>
                <w:sz w:val="20"/>
                <w:szCs w:val="20"/>
                <w:rtl/>
              </w:rPr>
              <w:t>(מגילה יד ע"א)</w:t>
            </w:r>
            <w:r w:rsidRPr="006038E9">
              <w:rPr>
                <w:rFonts w:ascii="David" w:hAnsi="David" w:cs="David" w:hint="cs"/>
                <w:sz w:val="20"/>
                <w:szCs w:val="20"/>
                <w:rtl/>
              </w:rPr>
              <w:t>.</w:t>
            </w:r>
            <w:r w:rsidRPr="006038E9">
              <w:rPr>
                <w:rFonts w:ascii="David" w:hAnsi="David" w:cs="David"/>
                <w:sz w:val="23"/>
                <w:szCs w:val="23"/>
                <w:rtl/>
              </w:rPr>
              <w:t xml:space="preserve"> בסופו של יום גם האחדות לא החזיקה מעמד</w:t>
            </w:r>
            <w:r w:rsidRPr="006038E9">
              <w:rPr>
                <w:rFonts w:ascii="David" w:hAnsi="David" w:cs="David" w:hint="cs"/>
                <w:sz w:val="23"/>
                <w:szCs w:val="23"/>
                <w:rtl/>
              </w:rPr>
              <w:t>.</w:t>
            </w:r>
            <w:r w:rsidRPr="006038E9">
              <w:rPr>
                <w:rFonts w:ascii="David" w:hAnsi="David" w:cs="David"/>
                <w:sz w:val="23"/>
                <w:szCs w:val="23"/>
                <w:rtl/>
              </w:rPr>
              <w:t xml:space="preserve"> מרדכי</w:t>
            </w:r>
            <w:r w:rsidRPr="006038E9">
              <w:rPr>
                <w:rFonts w:ascii="David" w:hAnsi="David" w:cs="David" w:hint="cs"/>
                <w:sz w:val="23"/>
                <w:szCs w:val="23"/>
                <w:rtl/>
              </w:rPr>
              <w:t>,</w:t>
            </w:r>
            <w:r w:rsidRPr="006038E9">
              <w:rPr>
                <w:rFonts w:ascii="David" w:hAnsi="David" w:cs="David"/>
                <w:sz w:val="23"/>
                <w:szCs w:val="23"/>
                <w:rtl/>
              </w:rPr>
              <w:t xml:space="preserve"> בסוף ימיו</w:t>
            </w:r>
            <w:r w:rsidRPr="006038E9">
              <w:rPr>
                <w:rFonts w:ascii="David" w:hAnsi="David" w:cs="David" w:hint="cs"/>
                <w:sz w:val="23"/>
                <w:szCs w:val="23"/>
                <w:rtl/>
              </w:rPr>
              <w:t>,</w:t>
            </w:r>
            <w:r w:rsidRPr="006038E9">
              <w:rPr>
                <w:rFonts w:ascii="David" w:hAnsi="David" w:cs="David"/>
                <w:sz w:val="23"/>
                <w:szCs w:val="23"/>
                <w:rtl/>
              </w:rPr>
              <w:t xml:space="preserve"> היה </w:t>
            </w:r>
            <w:r w:rsidRPr="006038E9">
              <w:rPr>
                <w:rFonts w:ascii="FrankRuehl" w:hAnsi="FrankRuehl" w:cs="FrankRuehl"/>
                <w:rtl/>
              </w:rPr>
              <w:t>רָצוּי (רק) לְרֹב אֶחָיו</w:t>
            </w:r>
            <w:r w:rsidRPr="006038E9">
              <w:rPr>
                <w:rFonts w:ascii="David" w:hAnsi="David" w:cs="David"/>
                <w:sz w:val="23"/>
                <w:szCs w:val="23"/>
                <w:rtl/>
              </w:rPr>
              <w:t xml:space="preserve"> </w:t>
            </w:r>
            <w:r w:rsidRPr="006038E9">
              <w:rPr>
                <w:rFonts w:ascii="David" w:hAnsi="David" w:cs="David"/>
                <w:sz w:val="20"/>
                <w:szCs w:val="20"/>
                <w:rtl/>
              </w:rPr>
              <w:t>(אסתר י, ג).</w:t>
            </w:r>
          </w:p>
          <w:p w14:paraId="5B2FC7FD" w14:textId="77777777" w:rsidR="006E4CFA" w:rsidRPr="006E4CFA" w:rsidRDefault="006E4CFA" w:rsidP="00B448CD">
            <w:pPr>
              <w:rPr>
                <w:rFonts w:ascii="David" w:hAnsi="David" w:cs="David"/>
                <w:sz w:val="10"/>
                <w:szCs w:val="10"/>
                <w:rtl/>
              </w:rPr>
            </w:pPr>
          </w:p>
          <w:p w14:paraId="26624A58" w14:textId="77777777" w:rsidR="006E4CFA" w:rsidRDefault="006E4CFA" w:rsidP="006E4CFA">
            <w:pPr>
              <w:jc w:val="center"/>
              <w:rPr>
                <w:rFonts w:ascii="David" w:hAnsi="David" w:cs="David"/>
                <w:sz w:val="23"/>
                <w:szCs w:val="23"/>
                <w:rtl/>
              </w:rPr>
            </w:pPr>
            <w:r w:rsidRPr="006038E9">
              <w:rPr>
                <w:rFonts w:ascii="David" w:hAnsi="David" w:cs="David"/>
                <w:sz w:val="23"/>
                <w:szCs w:val="23"/>
                <w:rtl/>
              </w:rPr>
              <w:t>נתפלל שאנחנו</w:t>
            </w:r>
            <w:r w:rsidRPr="006038E9">
              <w:rPr>
                <w:rFonts w:ascii="David" w:hAnsi="David" w:cs="David" w:hint="cs"/>
                <w:sz w:val="23"/>
                <w:szCs w:val="23"/>
                <w:rtl/>
              </w:rPr>
              <w:t>,</w:t>
            </w:r>
            <w:r w:rsidRPr="006038E9">
              <w:rPr>
                <w:rFonts w:ascii="David" w:hAnsi="David" w:cs="David"/>
                <w:sz w:val="23"/>
                <w:szCs w:val="23"/>
                <w:rtl/>
              </w:rPr>
              <w:t xml:space="preserve"> שזכינו לאחר גלות כל כך ארוכה, כעבדי אומות העולם, למדינה עצמאית כאן בארץ ישראל</w:t>
            </w:r>
            <w:r w:rsidRPr="006038E9">
              <w:rPr>
                <w:rFonts w:ascii="David" w:hAnsi="David" w:cs="David" w:hint="cs"/>
                <w:sz w:val="23"/>
                <w:szCs w:val="23"/>
                <w:rtl/>
              </w:rPr>
              <w:t>,</w:t>
            </w:r>
            <w:r w:rsidRPr="006038E9">
              <w:rPr>
                <w:rFonts w:ascii="David" w:hAnsi="David" w:cs="David"/>
                <w:sz w:val="23"/>
                <w:szCs w:val="23"/>
                <w:rtl/>
              </w:rPr>
              <w:t xml:space="preserve"> נזכה לאחדות</w:t>
            </w:r>
            <w:r w:rsidRPr="006038E9">
              <w:rPr>
                <w:rFonts w:ascii="David" w:hAnsi="David" w:cs="David" w:hint="cs"/>
                <w:sz w:val="23"/>
                <w:szCs w:val="23"/>
                <w:rtl/>
              </w:rPr>
              <w:t>,</w:t>
            </w:r>
            <w:r w:rsidRPr="006038E9">
              <w:rPr>
                <w:rFonts w:ascii="David" w:hAnsi="David" w:cs="David"/>
                <w:sz w:val="23"/>
                <w:szCs w:val="23"/>
                <w:rtl/>
              </w:rPr>
              <w:t xml:space="preserve"> </w:t>
            </w:r>
          </w:p>
          <w:p w14:paraId="23CACCA4" w14:textId="77777777" w:rsidR="006E4CFA" w:rsidRDefault="006E4CFA" w:rsidP="006E4CFA">
            <w:pPr>
              <w:jc w:val="center"/>
              <w:rPr>
                <w:rFonts w:ascii="David" w:hAnsi="David" w:cs="David"/>
                <w:sz w:val="23"/>
                <w:szCs w:val="23"/>
                <w:rtl/>
              </w:rPr>
            </w:pPr>
            <w:r w:rsidRPr="006038E9">
              <w:rPr>
                <w:rFonts w:ascii="David" w:hAnsi="David" w:cs="David"/>
                <w:sz w:val="23"/>
                <w:szCs w:val="23"/>
                <w:rtl/>
              </w:rPr>
              <w:t>שתוביל אותנו למדינת מופת</w:t>
            </w:r>
            <w:r w:rsidRPr="006038E9">
              <w:rPr>
                <w:rFonts w:ascii="David" w:hAnsi="David" w:cs="David" w:hint="cs"/>
                <w:sz w:val="23"/>
                <w:szCs w:val="23"/>
                <w:rtl/>
              </w:rPr>
              <w:t>,</w:t>
            </w:r>
            <w:r w:rsidRPr="006038E9">
              <w:rPr>
                <w:rFonts w:ascii="David" w:hAnsi="David" w:cs="David"/>
                <w:sz w:val="23"/>
                <w:szCs w:val="23"/>
                <w:rtl/>
              </w:rPr>
              <w:t xml:space="preserve"> שמערכת המשפט שלה תהיה לתל תלפיות לכל העמים.</w:t>
            </w:r>
            <w:r>
              <w:rPr>
                <w:rFonts w:ascii="David" w:hAnsi="David" w:cs="David" w:hint="cs"/>
                <w:sz w:val="23"/>
                <w:szCs w:val="23"/>
                <w:rtl/>
              </w:rPr>
              <w:t xml:space="preserve"> </w:t>
            </w:r>
          </w:p>
          <w:p w14:paraId="36196BAC" w14:textId="77777777" w:rsidR="006E4CFA" w:rsidRDefault="006E4CFA" w:rsidP="006E4CFA">
            <w:pPr>
              <w:jc w:val="center"/>
              <w:rPr>
                <w:rFonts w:ascii="David" w:hAnsi="David" w:cs="David"/>
                <w:sz w:val="23"/>
                <w:szCs w:val="23"/>
                <w:rtl/>
              </w:rPr>
            </w:pPr>
            <w:r>
              <w:rPr>
                <w:rFonts w:ascii="David" w:hAnsi="David" w:cs="David" w:hint="cs"/>
                <w:sz w:val="23"/>
                <w:szCs w:val="23"/>
                <w:rtl/>
              </w:rPr>
              <w:t xml:space="preserve">האחדות עוד יותר חשובה כשממש בימי הפורים עם ישראל נלחם ב"המנים" בפרס ומדי של שנת תשפ"ו. </w:t>
            </w:r>
          </w:p>
          <w:p w14:paraId="084472E4" w14:textId="77777777" w:rsidR="006E4CFA" w:rsidRPr="006038E9" w:rsidRDefault="006E4CFA" w:rsidP="006E4CFA">
            <w:pPr>
              <w:jc w:val="center"/>
              <w:rPr>
                <w:rFonts w:ascii="David" w:hAnsi="David" w:cs="David"/>
                <w:sz w:val="23"/>
                <w:szCs w:val="23"/>
                <w:rtl/>
              </w:rPr>
            </w:pPr>
            <w:r>
              <w:rPr>
                <w:rFonts w:ascii="David" w:hAnsi="David" w:cs="David" w:hint="cs"/>
                <w:sz w:val="23"/>
                <w:szCs w:val="23"/>
                <w:rtl/>
              </w:rPr>
              <w:t>נצא עוד יותר זכאים כשאנו כולנו ביחד.</w:t>
            </w:r>
          </w:p>
          <w:p w14:paraId="2773D01B" w14:textId="690672E4" w:rsidR="009C1995" w:rsidRPr="006E4CFA" w:rsidRDefault="009C1995" w:rsidP="006E76E4">
            <w:pPr>
              <w:jc w:val="center"/>
              <w:rPr>
                <w:rFonts w:ascii="David" w:eastAsia="Calibri" w:hAnsi="David" w:cs="David"/>
                <w:sz w:val="6"/>
                <w:szCs w:val="6"/>
                <w:rtl/>
              </w:rPr>
            </w:pPr>
          </w:p>
          <w:p w14:paraId="706D0C1E" w14:textId="4479BA95" w:rsidR="009C1995" w:rsidRDefault="009C1995" w:rsidP="006E76E4">
            <w:pPr>
              <w:jc w:val="center"/>
              <w:rPr>
                <w:rStyle w:val="Hyperlink"/>
                <w:rFonts w:ascii="David" w:hAnsi="David" w:cs="David"/>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F6ACBBE" w:rsidR="009C1995" w:rsidRPr="009C1995" w:rsidRDefault="009C1995" w:rsidP="002E79E9">
            <w:pPr>
              <w:rPr>
                <w:rFonts w:ascii="David" w:hAnsi="David" w:cs="David"/>
                <w:color w:val="0000FF"/>
                <w:sz w:val="20"/>
                <w:szCs w:val="20"/>
                <w:u w:val="single"/>
                <w:rtl/>
              </w:rPr>
            </w:pPr>
          </w:p>
        </w:tc>
      </w:tr>
      <w:bookmarkEnd w:id="2"/>
    </w:tbl>
    <w:p w14:paraId="4D640159" w14:textId="19EA46B9" w:rsidR="007B7A4E" w:rsidRPr="00CD712C" w:rsidRDefault="007B7A4E" w:rsidP="002D608A">
      <w:pPr>
        <w:contextualSpacing/>
        <w:jc w:val="center"/>
        <w:rPr>
          <w:rFonts w:ascii="Arial" w:eastAsia="Calibri" w:hAnsi="Arial" w:cs="Arial"/>
          <w:b/>
          <w:bCs/>
          <w:color w:val="C00000"/>
          <w:sz w:val="6"/>
          <w:szCs w:val="6"/>
          <w:rtl/>
        </w:rPr>
      </w:pP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tbl>
      <w:tblPr>
        <w:tblpPr w:leftFromText="180" w:rightFromText="180" w:vertAnchor="text" w:horzAnchor="margin" w:tblpY="87"/>
        <w:tblOverlap w:val="never"/>
        <w:bidiVisual/>
        <w:tblW w:w="11043" w:type="dxa"/>
        <w:tblLayout w:type="fixed"/>
        <w:tblCellMar>
          <w:left w:w="0" w:type="dxa"/>
          <w:right w:w="0" w:type="dxa"/>
        </w:tblCellMar>
        <w:tblLook w:val="04A0" w:firstRow="1" w:lastRow="0" w:firstColumn="1" w:lastColumn="0" w:noHBand="0" w:noVBand="1"/>
      </w:tblPr>
      <w:tblGrid>
        <w:gridCol w:w="1820"/>
        <w:gridCol w:w="282"/>
        <w:gridCol w:w="139"/>
        <w:gridCol w:w="709"/>
        <w:gridCol w:w="846"/>
        <w:gridCol w:w="14"/>
        <w:gridCol w:w="134"/>
        <w:gridCol w:w="430"/>
        <w:gridCol w:w="149"/>
        <w:gridCol w:w="553"/>
        <w:gridCol w:w="286"/>
        <w:gridCol w:w="575"/>
        <w:gridCol w:w="138"/>
        <w:gridCol w:w="279"/>
        <w:gridCol w:w="1423"/>
        <w:gridCol w:w="275"/>
        <w:gridCol w:w="144"/>
        <w:gridCol w:w="425"/>
        <w:gridCol w:w="716"/>
        <w:gridCol w:w="1267"/>
        <w:gridCol w:w="148"/>
        <w:gridCol w:w="291"/>
      </w:tblGrid>
      <w:tr w:rsidR="002E79E9" w:rsidRPr="00A6414A" w14:paraId="2506A958" w14:textId="77777777" w:rsidTr="002E79E9">
        <w:trPr>
          <w:trHeight w:val="273"/>
        </w:trPr>
        <w:tc>
          <w:tcPr>
            <w:tcW w:w="3796" w:type="dxa"/>
            <w:gridSpan w:val="5"/>
            <w:tcMar>
              <w:top w:w="0" w:type="dxa"/>
              <w:left w:w="108" w:type="dxa"/>
              <w:bottom w:w="0" w:type="dxa"/>
              <w:right w:w="108" w:type="dxa"/>
            </w:tcMar>
            <w:vAlign w:val="center"/>
          </w:tcPr>
          <w:p w14:paraId="207BD0A3" w14:textId="77777777" w:rsidR="002E79E9" w:rsidRPr="00A6414A" w:rsidRDefault="002E79E9" w:rsidP="002E79E9">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48FFC346" w14:textId="77777777" w:rsidR="002E79E9" w:rsidRPr="00A6414A" w:rsidRDefault="002E79E9" w:rsidP="002E79E9">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16F327E7" w14:textId="77777777" w:rsidR="002E79E9" w:rsidRPr="00A6414A" w:rsidRDefault="002E79E9" w:rsidP="002E79E9">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8"/>
            <w:vAlign w:val="center"/>
          </w:tcPr>
          <w:p w14:paraId="094E89BC" w14:textId="77777777" w:rsidR="002E79E9" w:rsidRPr="00A6414A" w:rsidRDefault="002E79E9" w:rsidP="002E79E9">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2E79E9" w:rsidRPr="00A6414A" w14:paraId="669B134A" w14:textId="77777777" w:rsidTr="002E79E9">
        <w:trPr>
          <w:trHeight w:val="273"/>
        </w:trPr>
        <w:tc>
          <w:tcPr>
            <w:tcW w:w="1820" w:type="dxa"/>
            <w:tcMar>
              <w:top w:w="0" w:type="dxa"/>
              <w:left w:w="108" w:type="dxa"/>
              <w:bottom w:w="0" w:type="dxa"/>
              <w:right w:w="108" w:type="dxa"/>
            </w:tcMar>
            <w:vAlign w:val="center"/>
          </w:tcPr>
          <w:p w14:paraId="0B9B69B7" w14:textId="77777777" w:rsidR="002E79E9" w:rsidRPr="00A6414A" w:rsidRDefault="002E79E9" w:rsidP="002E79E9">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643355AA"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206A3FD7" w14:textId="77777777" w:rsidR="002E79E9" w:rsidRPr="00A6414A" w:rsidRDefault="002E79E9" w:rsidP="002E79E9">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271FCFDB"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4"/>
            <w:vAlign w:val="center"/>
          </w:tcPr>
          <w:p w14:paraId="0A75D99B" w14:textId="77777777" w:rsidR="002E79E9" w:rsidRPr="00A6414A" w:rsidRDefault="002E79E9" w:rsidP="002E79E9">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6629C900" w14:textId="77777777" w:rsidR="002E79E9" w:rsidRPr="00A6414A" w:rsidRDefault="002E79E9" w:rsidP="002E79E9">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2"/>
            <w:vAlign w:val="center"/>
          </w:tcPr>
          <w:p w14:paraId="6C10FFF4"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6338369D"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7E94125A"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1191076D" w14:textId="77777777" w:rsidR="002E79E9" w:rsidRPr="00A6414A" w:rsidRDefault="002E79E9" w:rsidP="002E79E9">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03D6967A"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5A576A6F"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2E79E9" w:rsidRPr="00A6414A" w14:paraId="34229D40" w14:textId="77777777" w:rsidTr="002E79E9">
        <w:trPr>
          <w:trHeight w:val="427"/>
        </w:trPr>
        <w:tc>
          <w:tcPr>
            <w:tcW w:w="2241" w:type="dxa"/>
            <w:gridSpan w:val="3"/>
            <w:tcMar>
              <w:top w:w="0" w:type="dxa"/>
              <w:left w:w="108" w:type="dxa"/>
              <w:bottom w:w="0" w:type="dxa"/>
              <w:right w:w="108" w:type="dxa"/>
            </w:tcMar>
            <w:vAlign w:val="center"/>
            <w:hideMark/>
          </w:tcPr>
          <w:p w14:paraId="663FFE75" w14:textId="77777777" w:rsidR="002E79E9" w:rsidRPr="00A6414A" w:rsidRDefault="002E79E9" w:rsidP="002E79E9">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4011C305"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04735B9B" w14:textId="77777777" w:rsidR="002E79E9" w:rsidRPr="00A6414A" w:rsidRDefault="002E79E9" w:rsidP="002E79E9">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588DF30B" w14:textId="77777777" w:rsidR="002E79E9" w:rsidRPr="00A6414A" w:rsidRDefault="002E79E9" w:rsidP="002E79E9">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7"/>
            <w:vAlign w:val="center"/>
            <w:hideMark/>
          </w:tcPr>
          <w:p w14:paraId="58B1CD81" w14:textId="77777777" w:rsidR="002E79E9" w:rsidRPr="00A6414A" w:rsidRDefault="002E79E9" w:rsidP="002E79E9">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3825A5E8"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175A792B" w14:textId="77777777" w:rsidR="002E79E9" w:rsidRPr="00A6414A" w:rsidRDefault="002E79E9" w:rsidP="002E79E9">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04E72FD4"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2E79E9" w:rsidRPr="00A6414A" w14:paraId="1AD6FEC2" w14:textId="77777777" w:rsidTr="002E79E9">
        <w:trPr>
          <w:trHeight w:val="431"/>
        </w:trPr>
        <w:tc>
          <w:tcPr>
            <w:tcW w:w="2102" w:type="dxa"/>
            <w:gridSpan w:val="2"/>
            <w:tcMar>
              <w:top w:w="0" w:type="dxa"/>
              <w:left w:w="108" w:type="dxa"/>
              <w:bottom w:w="0" w:type="dxa"/>
              <w:right w:w="108" w:type="dxa"/>
            </w:tcMar>
            <w:vAlign w:val="center"/>
          </w:tcPr>
          <w:p w14:paraId="2EF773CC"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62220E4" w14:textId="77777777" w:rsidR="002E79E9" w:rsidRPr="00A6414A" w:rsidRDefault="002E79E9" w:rsidP="002E79E9">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4654A51E"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384F4505"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417917B" w14:textId="77777777" w:rsidR="002E79E9" w:rsidRPr="00A6414A" w:rsidRDefault="002E79E9" w:rsidP="002E79E9">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2734EC29"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34549785" w14:textId="77777777" w:rsidR="002E79E9" w:rsidRPr="00A6414A" w:rsidRDefault="002E79E9" w:rsidP="002E79E9">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2C458CC1" w14:textId="77777777" w:rsidR="002E79E9" w:rsidRPr="00A6414A" w:rsidRDefault="002E79E9" w:rsidP="002E79E9">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03358DE0"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389081F9"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2E79E9" w:rsidRPr="00A6414A" w14:paraId="32A2CD81" w14:textId="77777777" w:rsidTr="002E79E9">
        <w:trPr>
          <w:trHeight w:val="453"/>
        </w:trPr>
        <w:tc>
          <w:tcPr>
            <w:tcW w:w="2950" w:type="dxa"/>
            <w:gridSpan w:val="4"/>
            <w:vAlign w:val="center"/>
            <w:hideMark/>
          </w:tcPr>
          <w:p w14:paraId="44F82607" w14:textId="4BA7ECAA" w:rsidR="002E79E9" w:rsidRPr="00A6414A" w:rsidRDefault="004B595A" w:rsidP="002E79E9">
            <w:pPr>
              <w:ind w:left="59" w:hanging="32"/>
              <w:contextualSpacing/>
              <w:jc w:val="center"/>
              <w:rPr>
                <w:rFonts w:ascii="David" w:eastAsia="Calibri" w:hAnsi="David" w:cs="David"/>
                <w:color w:val="000000"/>
                <w:sz w:val="19"/>
                <w:szCs w:val="19"/>
              </w:rPr>
            </w:pPr>
            <w:r w:rsidRPr="00512DD9">
              <w:rPr>
                <w:rFonts w:ascii="David" w:hAnsi="David" w:cs="David"/>
                <w:noProof/>
                <w:sz w:val="10"/>
                <w:szCs w:val="10"/>
                <w:rtl/>
              </w:rPr>
              <w:drawing>
                <wp:anchor distT="0" distB="0" distL="114300" distR="114300" simplePos="0" relativeHeight="252029952" behindDoc="1" locked="0" layoutInCell="1" allowOverlap="1" wp14:anchorId="2E0B0BBA" wp14:editId="2A46976E">
                  <wp:simplePos x="0" y="0"/>
                  <wp:positionH relativeFrom="margin">
                    <wp:posOffset>-5336540</wp:posOffset>
                  </wp:positionH>
                  <wp:positionV relativeFrom="paragraph">
                    <wp:posOffset>-1341120</wp:posOffset>
                  </wp:positionV>
                  <wp:extent cx="7429500" cy="2174875"/>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29500" cy="2174875"/>
                          </a:xfrm>
                          <a:prstGeom prst="rect">
                            <a:avLst/>
                          </a:prstGeom>
                          <a:noFill/>
                        </pic:spPr>
                      </pic:pic>
                    </a:graphicData>
                  </a:graphic>
                  <wp14:sizeRelH relativeFrom="page">
                    <wp14:pctWidth>0</wp14:pctWidth>
                  </wp14:sizeRelH>
                  <wp14:sizeRelV relativeFrom="page">
                    <wp14:pctHeight>0</wp14:pctHeight>
                  </wp14:sizeRelV>
                </wp:anchor>
              </w:drawing>
            </w:r>
            <w:r w:rsidR="002E79E9" w:rsidRPr="00A6414A">
              <w:rPr>
                <w:rFonts w:ascii="David" w:eastAsia="Calibri" w:hAnsi="David" w:cs="David"/>
                <w:color w:val="000000"/>
                <w:sz w:val="19"/>
                <w:szCs w:val="19"/>
                <w:rtl/>
              </w:rPr>
              <w:t xml:space="preserve">ר' </w:t>
            </w:r>
            <w:r w:rsidR="002E79E9" w:rsidRPr="00A6414A">
              <w:rPr>
                <w:rFonts w:ascii="David" w:eastAsia="Calibri" w:hAnsi="David" w:cs="David"/>
                <w:b/>
                <w:bCs/>
                <w:color w:val="002060"/>
                <w:sz w:val="19"/>
                <w:szCs w:val="19"/>
                <w:rtl/>
              </w:rPr>
              <w:t xml:space="preserve">אליהו כרמל </w:t>
            </w:r>
            <w:r w:rsidR="002E79E9" w:rsidRPr="00A6414A">
              <w:rPr>
                <w:rFonts w:ascii="David" w:eastAsia="Calibri" w:hAnsi="David" w:cs="David"/>
                <w:color w:val="000000"/>
                <w:sz w:val="19"/>
                <w:szCs w:val="19"/>
                <w:rtl/>
              </w:rPr>
              <w:t>וגב'</w:t>
            </w:r>
            <w:r w:rsidR="002E79E9" w:rsidRPr="00A6414A">
              <w:rPr>
                <w:rFonts w:ascii="David" w:eastAsia="Calibri" w:hAnsi="David" w:cs="David"/>
                <w:b/>
                <w:bCs/>
                <w:color w:val="000000"/>
                <w:sz w:val="19"/>
                <w:szCs w:val="19"/>
                <w:rtl/>
              </w:rPr>
              <w:t xml:space="preserve"> </w:t>
            </w:r>
            <w:r w:rsidR="002E79E9" w:rsidRPr="00A6414A">
              <w:rPr>
                <w:rFonts w:ascii="David" w:eastAsia="Calibri" w:hAnsi="David" w:cs="David"/>
                <w:b/>
                <w:bCs/>
                <w:color w:val="002060"/>
                <w:sz w:val="19"/>
                <w:szCs w:val="19"/>
                <w:rtl/>
              </w:rPr>
              <w:t xml:space="preserve">מלכה </w:t>
            </w:r>
            <w:proofErr w:type="spellStart"/>
            <w:r w:rsidR="002E79E9" w:rsidRPr="00A6414A">
              <w:rPr>
                <w:rFonts w:ascii="David" w:eastAsia="Calibri" w:hAnsi="David" w:cs="David"/>
                <w:b/>
                <w:bCs/>
                <w:color w:val="002060"/>
                <w:sz w:val="19"/>
                <w:szCs w:val="19"/>
                <w:rtl/>
              </w:rPr>
              <w:t>טויבע</w:t>
            </w:r>
            <w:proofErr w:type="spellEnd"/>
            <w:r w:rsidR="002E79E9" w:rsidRPr="00A6414A">
              <w:rPr>
                <w:rFonts w:ascii="David" w:eastAsia="Calibri" w:hAnsi="David" w:cs="David"/>
                <w:b/>
                <w:bCs/>
                <w:color w:val="002060"/>
                <w:sz w:val="19"/>
                <w:szCs w:val="19"/>
                <w:rtl/>
              </w:rPr>
              <w:t xml:space="preserve"> כרמל</w:t>
            </w:r>
          </w:p>
          <w:p w14:paraId="7ED7B44E" w14:textId="77777777" w:rsidR="002E79E9" w:rsidRPr="00A6414A" w:rsidRDefault="002E79E9" w:rsidP="002E79E9">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342D0567" w14:textId="77777777" w:rsidR="002E79E9" w:rsidRPr="00A6414A" w:rsidRDefault="002E79E9" w:rsidP="002E79E9">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3E351E01" w14:textId="77777777" w:rsidR="002E79E9" w:rsidRPr="00A6414A" w:rsidRDefault="002E79E9" w:rsidP="002E79E9">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16CCE12F" w14:textId="77777777" w:rsidR="002E79E9" w:rsidRPr="00A6414A" w:rsidRDefault="002E79E9" w:rsidP="002E79E9">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E7933A" w14:textId="77777777" w:rsidR="002E79E9" w:rsidRPr="00A6414A" w:rsidRDefault="002E79E9" w:rsidP="002E79E9">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669DF8A2" w14:textId="77777777" w:rsidR="00CF1BFE" w:rsidRPr="00CF1BFE" w:rsidRDefault="00CF1BFE" w:rsidP="00CF1BFE">
            <w:pPr>
              <w:ind w:left="59" w:right="72"/>
              <w:jc w:val="center"/>
              <w:rPr>
                <w:rFonts w:ascii="Arial" w:hAnsi="Arial" w:cs="David"/>
                <w:sz w:val="19"/>
                <w:szCs w:val="19"/>
                <w:rtl/>
              </w:rPr>
            </w:pPr>
            <w:r w:rsidRPr="00CF1BFE">
              <w:rPr>
                <w:rFonts w:ascii="David" w:eastAsia="Calibri" w:hAnsi="David" w:cs="David"/>
                <w:b/>
                <w:bCs/>
                <w:color w:val="002060"/>
                <w:sz w:val="19"/>
                <w:szCs w:val="19"/>
                <w:rtl/>
              </w:rPr>
              <w:t>צפורה</w:t>
            </w:r>
            <w:r w:rsidRPr="00CF1BFE">
              <w:rPr>
                <w:rFonts w:ascii="David" w:eastAsia="Calibri" w:hAnsi="David" w:cs="David"/>
                <w:color w:val="000000"/>
                <w:sz w:val="19"/>
                <w:szCs w:val="19"/>
                <w:rtl/>
              </w:rPr>
              <w:t xml:space="preserve"> </w:t>
            </w:r>
            <w:r w:rsidRPr="00CF1BFE">
              <w:rPr>
                <w:rFonts w:ascii="Arial" w:hAnsi="Arial" w:cs="David"/>
                <w:sz w:val="19"/>
                <w:szCs w:val="19"/>
                <w:rtl/>
              </w:rPr>
              <w:t xml:space="preserve">בת </w:t>
            </w:r>
            <w:r w:rsidRPr="00CF1BFE">
              <w:rPr>
                <w:rFonts w:ascii="David" w:eastAsia="Calibri" w:hAnsi="David" w:cs="David"/>
                <w:b/>
                <w:bCs/>
                <w:color w:val="002060"/>
                <w:sz w:val="19"/>
                <w:szCs w:val="19"/>
                <w:rtl/>
              </w:rPr>
              <w:t xml:space="preserve">יונה </w:t>
            </w:r>
            <w:proofErr w:type="spellStart"/>
            <w:r w:rsidRPr="00CF1BFE">
              <w:rPr>
                <w:rFonts w:ascii="David" w:eastAsia="Calibri" w:hAnsi="David" w:cs="David"/>
                <w:b/>
                <w:bCs/>
                <w:color w:val="002060"/>
                <w:sz w:val="19"/>
                <w:szCs w:val="19"/>
                <w:rtl/>
              </w:rPr>
              <w:t>דונייר</w:t>
            </w:r>
            <w:proofErr w:type="spellEnd"/>
            <w:r w:rsidRPr="00CF1BFE">
              <w:rPr>
                <w:rFonts w:ascii="Arial" w:hAnsi="Arial" w:cs="David"/>
                <w:sz w:val="19"/>
                <w:szCs w:val="19"/>
                <w:rtl/>
              </w:rPr>
              <w:t xml:space="preserve"> ע"ה</w:t>
            </w:r>
          </w:p>
          <w:p w14:paraId="2BE95D08" w14:textId="1B505DA4" w:rsidR="002E79E9" w:rsidRPr="00CF1BFE" w:rsidRDefault="00CF1BFE" w:rsidP="00CF1BFE">
            <w:pPr>
              <w:ind w:left="59" w:right="72"/>
              <w:jc w:val="center"/>
              <w:rPr>
                <w:rFonts w:ascii="Arial" w:hAnsi="Arial" w:cs="David"/>
                <w:sz w:val="19"/>
                <w:szCs w:val="19"/>
                <w:rtl/>
              </w:rPr>
            </w:pPr>
            <w:r w:rsidRPr="00CF1BFE">
              <w:rPr>
                <w:rFonts w:ascii="David" w:eastAsia="Calibri" w:hAnsi="David" w:cs="David"/>
                <w:color w:val="000000"/>
                <w:sz w:val="19"/>
                <w:szCs w:val="19"/>
                <w:rtl/>
              </w:rPr>
              <w:t>נלב"ע י"ב אדר א'</w:t>
            </w:r>
          </w:p>
        </w:tc>
      </w:tr>
      <w:tr w:rsidR="002E79E9" w:rsidRPr="00A6414A" w14:paraId="712471CF" w14:textId="77777777" w:rsidTr="009A233F">
        <w:trPr>
          <w:trHeight w:val="404"/>
        </w:trPr>
        <w:tc>
          <w:tcPr>
            <w:tcW w:w="2102" w:type="dxa"/>
            <w:gridSpan w:val="2"/>
            <w:vAlign w:val="center"/>
          </w:tcPr>
          <w:p w14:paraId="2AB2A049" w14:textId="0AA05BA4" w:rsidR="002E79E9" w:rsidRPr="00A6414A" w:rsidRDefault="002E79E9" w:rsidP="002E79E9">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21BBE2DE" w14:textId="77777777" w:rsidR="002E79E9" w:rsidRPr="00A6414A" w:rsidRDefault="002E79E9" w:rsidP="002E79E9">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708" w:type="dxa"/>
            <w:gridSpan w:val="4"/>
            <w:vAlign w:val="center"/>
          </w:tcPr>
          <w:p w14:paraId="3FFB2A07" w14:textId="77777777" w:rsidR="002E79E9" w:rsidRPr="00A6414A" w:rsidRDefault="002E79E9" w:rsidP="002E79E9">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881E0B" w14:textId="77777777" w:rsidR="002E79E9" w:rsidRPr="00A6414A" w:rsidRDefault="002E79E9" w:rsidP="002E79E9">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2127" w:type="dxa"/>
            <w:gridSpan w:val="6"/>
            <w:vAlign w:val="center"/>
          </w:tcPr>
          <w:p w14:paraId="7DF55B1E" w14:textId="77777777" w:rsidR="002E79E9" w:rsidRPr="00A6414A" w:rsidRDefault="002E79E9" w:rsidP="002E79E9">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48B586E8" w14:textId="77777777" w:rsidR="002E79E9" w:rsidRPr="00A6414A" w:rsidRDefault="002E79E9" w:rsidP="002E79E9">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2684" w:type="dxa"/>
            <w:gridSpan w:val="6"/>
            <w:vAlign w:val="center"/>
          </w:tcPr>
          <w:p w14:paraId="5D7AB7A7" w14:textId="77777777" w:rsidR="00B24119" w:rsidRPr="00B24119" w:rsidRDefault="00B24119" w:rsidP="00B24119">
            <w:pPr>
              <w:contextualSpacing/>
              <w:jc w:val="center"/>
              <w:rPr>
                <w:rFonts w:ascii="David" w:eastAsia="Calibri" w:hAnsi="David" w:cs="David"/>
                <w:b/>
                <w:bCs/>
                <w:color w:val="002060"/>
                <w:sz w:val="19"/>
                <w:szCs w:val="19"/>
                <w:rtl/>
              </w:rPr>
            </w:pPr>
            <w:r w:rsidRPr="00B24119">
              <w:rPr>
                <w:rFonts w:ascii="David" w:eastAsia="Calibri" w:hAnsi="David" w:cs="David"/>
                <w:b/>
                <w:bCs/>
                <w:color w:val="002060"/>
                <w:sz w:val="19"/>
                <w:szCs w:val="19"/>
                <w:rtl/>
              </w:rPr>
              <w:t>הרב יוסף מרדכי</w:t>
            </w:r>
            <w:r w:rsidRPr="00B24119">
              <w:rPr>
                <w:rFonts w:ascii="David" w:eastAsia="Calibri" w:hAnsi="David" w:cs="David"/>
                <w:b/>
                <w:bCs/>
                <w:color w:val="002060"/>
                <w:sz w:val="19"/>
                <w:szCs w:val="19"/>
              </w:rPr>
              <w:t xml:space="preserve"> </w:t>
            </w:r>
            <w:r w:rsidRPr="00B24119">
              <w:rPr>
                <w:rFonts w:ascii="David" w:eastAsia="Calibri" w:hAnsi="David" w:cs="David"/>
                <w:b/>
                <w:bCs/>
                <w:color w:val="002060"/>
                <w:sz w:val="19"/>
                <w:szCs w:val="19"/>
                <w:rtl/>
              </w:rPr>
              <w:t>שמחה שטרן</w:t>
            </w:r>
          </w:p>
          <w:p w14:paraId="234B7BA8" w14:textId="47E46612" w:rsidR="002E79E9" w:rsidRPr="00B24119" w:rsidRDefault="00B24119" w:rsidP="00B24119">
            <w:pPr>
              <w:jc w:val="center"/>
              <w:rPr>
                <w:rFonts w:cs="David"/>
                <w:noProof/>
                <w:sz w:val="19"/>
                <w:szCs w:val="19"/>
                <w:rtl/>
                <w:lang w:eastAsia="he-IL"/>
              </w:rPr>
            </w:pPr>
            <w:r w:rsidRPr="00B24119">
              <w:rPr>
                <w:rFonts w:ascii="Calibri" w:eastAsia="Calibri" w:hAnsi="Calibri" w:cs="David"/>
                <w:sz w:val="19"/>
                <w:szCs w:val="19"/>
                <w:rtl/>
              </w:rPr>
              <w:t>נלב"ע כ"א באדר א' תשע"ד</w:t>
            </w:r>
          </w:p>
        </w:tc>
        <w:tc>
          <w:tcPr>
            <w:tcW w:w="1983" w:type="dxa"/>
            <w:gridSpan w:val="2"/>
            <w:vAlign w:val="center"/>
          </w:tcPr>
          <w:p w14:paraId="21D3A8AF" w14:textId="77777777" w:rsidR="002E79E9" w:rsidRPr="00A6414A" w:rsidRDefault="002E79E9" w:rsidP="002E79E9">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4FFB1472" w14:textId="77777777" w:rsidR="002E79E9" w:rsidRPr="00A6414A" w:rsidRDefault="002E79E9" w:rsidP="002E79E9">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6E4C2F34" w14:textId="77777777" w:rsidR="002E79E9" w:rsidRPr="00A6414A" w:rsidRDefault="002E79E9" w:rsidP="002E79E9">
            <w:pPr>
              <w:ind w:left="26" w:right="41"/>
              <w:contextualSpacing/>
              <w:jc w:val="center"/>
              <w:rPr>
                <w:rFonts w:ascii="David" w:eastAsia="Calibri" w:hAnsi="David" w:cs="David"/>
                <w:color w:val="002060"/>
                <w:sz w:val="19"/>
                <w:szCs w:val="19"/>
                <w:rtl/>
              </w:rPr>
            </w:pPr>
          </w:p>
        </w:tc>
        <w:tc>
          <w:tcPr>
            <w:tcW w:w="291" w:type="dxa"/>
            <w:vAlign w:val="center"/>
          </w:tcPr>
          <w:p w14:paraId="7BBBDD44" w14:textId="77777777" w:rsidR="002E79E9" w:rsidRPr="00A6414A" w:rsidRDefault="002E79E9" w:rsidP="002E79E9">
            <w:pPr>
              <w:ind w:right="-57"/>
              <w:contextualSpacing/>
              <w:jc w:val="center"/>
              <w:rPr>
                <w:sz w:val="19"/>
                <w:szCs w:val="19"/>
                <w:rtl/>
              </w:rPr>
            </w:pPr>
          </w:p>
        </w:tc>
      </w:tr>
      <w:bookmarkEnd w:id="3"/>
    </w:tbl>
    <w:p w14:paraId="02D9354C" w14:textId="47C06B31" w:rsidR="009C1995" w:rsidRDefault="009C1995" w:rsidP="0015428A">
      <w:pPr>
        <w:contextualSpacing/>
        <w:jc w:val="center"/>
        <w:rPr>
          <w:rFonts w:ascii="Arial" w:eastAsia="Calibri" w:hAnsi="Arial" w:cs="Arial"/>
          <w:b/>
          <w:bCs/>
          <w:color w:val="C00000"/>
          <w:sz w:val="17"/>
          <w:szCs w:val="17"/>
          <w:rtl/>
        </w:rPr>
      </w:pPr>
    </w:p>
    <w:p w14:paraId="641660B4" w14:textId="3C9CB104" w:rsidR="002E79E9" w:rsidRPr="006E4CFA" w:rsidRDefault="002E79E9" w:rsidP="0015428A">
      <w:pPr>
        <w:contextualSpacing/>
        <w:jc w:val="center"/>
        <w:rPr>
          <w:rFonts w:ascii="Arial" w:eastAsia="Calibri" w:hAnsi="Arial" w:cs="Arial"/>
          <w:b/>
          <w:bCs/>
          <w:color w:val="C00000"/>
          <w:sz w:val="12"/>
          <w:szCs w:val="12"/>
          <w:rtl/>
        </w:rPr>
      </w:pPr>
    </w:p>
    <w:p w14:paraId="585DB8BA" w14:textId="22DDCAA3" w:rsidR="0015428A" w:rsidRPr="00C87E8A" w:rsidRDefault="0015428A" w:rsidP="0015428A">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CD712C" w:rsidRDefault="0015428A" w:rsidP="0015428A">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62C1F163" w14:textId="4D391B7D" w:rsidR="00AF0507" w:rsidRDefault="00E43B21" w:rsidP="00AF0507">
      <w:pPr>
        <w:pStyle w:val="aff7"/>
        <w:spacing w:after="0" w:line="240" w:lineRule="auto"/>
        <w:jc w:val="center"/>
        <w:rPr>
          <w:rFonts w:ascii="Arial" w:eastAsia="Calibri" w:hAnsi="Arial"/>
          <w:color w:val="0070C0"/>
          <w:sz w:val="17"/>
          <w:szCs w:val="17"/>
          <w:rtl/>
        </w:rPr>
      </w:pPr>
      <w:hyperlink r:id="rId13" w:history="1">
        <w:r w:rsidR="00AF0507" w:rsidRPr="00CD712C">
          <w:rPr>
            <w:rStyle w:val="Hyperlink"/>
            <w:rFonts w:ascii="FrankRuehl" w:eastAsia="Calibri" w:hAnsi="FrankRuehl" w:cs="FrankRuehl"/>
            <w:sz w:val="17"/>
            <w:szCs w:val="17"/>
          </w:rPr>
          <w:t>info@eretzhemdah.org</w:t>
        </w:r>
      </w:hyperlink>
      <w:r w:rsidR="00AF0507" w:rsidRPr="00CD712C">
        <w:rPr>
          <w:rStyle w:val="Hyperlink"/>
          <w:rFonts w:ascii="FrankRuehl" w:eastAsia="Calibri" w:hAnsi="FrankRuehl" w:cs="FrankRuehl" w:hint="cs"/>
          <w:sz w:val="17"/>
          <w:szCs w:val="17"/>
          <w:rtl/>
        </w:rPr>
        <w:t xml:space="preserve"> </w:t>
      </w:r>
      <w:r w:rsidR="00AF0507" w:rsidRPr="00CD712C">
        <w:rPr>
          <w:rFonts w:ascii="Arial" w:eastAsia="Calibri" w:hAnsi="Arial" w:hint="cs"/>
          <w:color w:val="0070C0"/>
          <w:sz w:val="17"/>
          <w:szCs w:val="17"/>
          <w:rtl/>
        </w:rPr>
        <w:t>/ טל: 02-5371485</w:t>
      </w:r>
      <w:r w:rsidR="00AF0507" w:rsidRPr="00CD712C">
        <w:rPr>
          <w:rFonts w:ascii="Arial" w:eastAsia="Calibri" w:hAnsi="Arial"/>
          <w:color w:val="0070C0"/>
          <w:sz w:val="17"/>
          <w:szCs w:val="17"/>
        </w:rPr>
        <w:t xml:space="preserve">Tel: </w:t>
      </w:r>
      <w:r w:rsidR="00AF0507" w:rsidRPr="00CD712C">
        <w:rPr>
          <w:rFonts w:ascii="Arial" w:eastAsia="Calibri" w:hAnsi="Arial" w:hint="cs"/>
          <w:color w:val="0070C0"/>
          <w:sz w:val="17"/>
          <w:szCs w:val="17"/>
          <w:rtl/>
        </w:rPr>
        <w:t xml:space="preserve"> / </w:t>
      </w:r>
      <w:hyperlink r:id="rId14" w:history="1">
        <w:r w:rsidR="00AF0507" w:rsidRPr="00CD712C">
          <w:rPr>
            <w:rStyle w:val="Hyperlink"/>
            <w:rFonts w:ascii="FrankRuehl" w:eastAsia="Calibri" w:hAnsi="FrankRuehl" w:cs="FrankRuehl"/>
            <w:sz w:val="17"/>
            <w:szCs w:val="17"/>
          </w:rPr>
          <w:t>WWW.ERETZHEMDAH.ORG</w:t>
        </w:r>
      </w:hyperlink>
    </w:p>
    <w:p w14:paraId="1FDB64BF" w14:textId="03749B05" w:rsidR="001039C7" w:rsidRDefault="00F72641" w:rsidP="00E60A67">
      <w:pPr>
        <w:contextualSpacing/>
        <w:rPr>
          <w:rFonts w:ascii="Calibri" w:eastAsia="Calibri" w:hAnsi="Calibri" w:cs="David"/>
          <w:b/>
          <w:bCs/>
          <w:sz w:val="28"/>
          <w:szCs w:val="28"/>
        </w:rPr>
      </w:pPr>
      <w:r>
        <w:rPr>
          <w:noProof/>
          <w:rtl/>
          <w:lang w:val="he-IL"/>
        </w:rPr>
        <w:lastRenderedPageBreak/>
        <w:drawing>
          <wp:anchor distT="0" distB="0" distL="114300" distR="114300" simplePos="0" relativeHeight="252033024" behindDoc="1" locked="0" layoutInCell="1" allowOverlap="1" wp14:anchorId="2B6BD10E" wp14:editId="4A7AA0E6">
            <wp:simplePos x="0" y="0"/>
            <wp:positionH relativeFrom="column">
              <wp:posOffset>4271010</wp:posOffset>
            </wp:positionH>
            <wp:positionV relativeFrom="paragraph">
              <wp:posOffset>-34290</wp:posOffset>
            </wp:positionV>
            <wp:extent cx="2749302" cy="530353"/>
            <wp:effectExtent l="0" t="0" r="0" b="0"/>
            <wp:wrapNone/>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14:sizeRelH relativeFrom="page">
              <wp14:pctWidth>0</wp14:pctWidth>
            </wp14:sizeRelH>
            <wp14:sizeRelV relativeFrom="page">
              <wp14:pctHeight>0</wp14:pctHeight>
            </wp14:sizeRelV>
          </wp:anchor>
        </w:drawing>
      </w:r>
    </w:p>
    <w:p w14:paraId="5A37EAD5" w14:textId="77777777" w:rsidR="00F72641" w:rsidRDefault="00F72641" w:rsidP="001039C7">
      <w:pPr>
        <w:contextualSpacing/>
        <w:rPr>
          <w:rFonts w:ascii="Calibri" w:eastAsia="Calibri" w:hAnsi="Calibri" w:cs="David"/>
          <w:b/>
          <w:bCs/>
          <w:sz w:val="28"/>
          <w:szCs w:val="28"/>
          <w:rtl/>
        </w:rPr>
      </w:pPr>
    </w:p>
    <w:p w14:paraId="546793B2" w14:textId="77777777" w:rsidR="00F72641" w:rsidRPr="00F72641" w:rsidRDefault="00F72641" w:rsidP="001039C7">
      <w:pPr>
        <w:contextualSpacing/>
        <w:rPr>
          <w:rFonts w:ascii="Calibri" w:eastAsia="Calibri" w:hAnsi="Calibri" w:cs="David"/>
          <w:sz w:val="20"/>
          <w:szCs w:val="20"/>
          <w:rtl/>
        </w:rPr>
      </w:pPr>
    </w:p>
    <w:p w14:paraId="7A42E887" w14:textId="2E38CEF0"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5E24E0" w:rsidRDefault="003A70F2" w:rsidP="005E3AFB">
      <w:pPr>
        <w:contextualSpacing/>
        <w:jc w:val="right"/>
        <w:rPr>
          <w:rFonts w:ascii="David" w:eastAsia="Calibri" w:hAnsi="David" w:cs="David"/>
          <w:b/>
          <w:bCs/>
          <w:color w:val="0070C0"/>
          <w:sz w:val="22"/>
          <w:szCs w:val="22"/>
          <w:rtl/>
        </w:rPr>
      </w:pPr>
      <w:r w:rsidRPr="005E24E0">
        <w:rPr>
          <w:rFonts w:ascii="David" w:eastAsia="Calibri" w:hAnsi="David" w:cs="David" w:hint="cs"/>
          <w:b/>
          <w:bCs/>
          <w:color w:val="0070C0"/>
          <w:sz w:val="22"/>
          <w:szCs w:val="22"/>
          <w:rtl/>
        </w:rPr>
        <w:t>לע"נ מורנו הרב ארנרייך זצ"ל</w:t>
      </w:r>
      <w:r w:rsidR="00B42B24" w:rsidRPr="005E24E0">
        <w:rPr>
          <w:rFonts w:ascii="David" w:eastAsia="Calibri" w:hAnsi="David" w:cs="David" w:hint="cs"/>
          <w:b/>
          <w:bCs/>
          <w:color w:val="0070C0"/>
          <w:sz w:val="22"/>
          <w:szCs w:val="22"/>
          <w:rtl/>
        </w:rPr>
        <w:t xml:space="preserve">, </w:t>
      </w:r>
      <w:r w:rsidRPr="005E24E0">
        <w:rPr>
          <w:rFonts w:ascii="David" w:eastAsia="Calibri" w:hAnsi="David" w:cs="David" w:hint="cs"/>
          <w:b/>
          <w:bCs/>
          <w:color w:val="0070C0"/>
          <w:sz w:val="22"/>
          <w:szCs w:val="22"/>
          <w:rtl/>
        </w:rPr>
        <w:t xml:space="preserve">ממנו למדנו להרגיש את </w:t>
      </w:r>
      <w:proofErr w:type="spellStart"/>
      <w:r w:rsidRPr="005E24E0">
        <w:rPr>
          <w:rFonts w:ascii="David" w:eastAsia="Calibri" w:hAnsi="David" w:cs="David" w:hint="cs"/>
          <w:b/>
          <w:bCs/>
          <w:color w:val="0070C0"/>
          <w:sz w:val="22"/>
          <w:szCs w:val="22"/>
          <w:rtl/>
        </w:rPr>
        <w:t>הסברא</w:t>
      </w:r>
      <w:proofErr w:type="spellEnd"/>
      <w:r w:rsidRPr="005E24E0">
        <w:rPr>
          <w:rFonts w:ascii="David" w:eastAsia="Calibri" w:hAnsi="David" w:cs="David" w:hint="cs"/>
          <w:b/>
          <w:bCs/>
          <w:color w:val="0070C0"/>
          <w:sz w:val="22"/>
          <w:szCs w:val="22"/>
          <w:rtl/>
        </w:rPr>
        <w:t xml:space="preserve"> ולהתרגש מהבנת התורה</w:t>
      </w:r>
    </w:p>
    <w:p w14:paraId="09B9664C" w14:textId="60FBCB51" w:rsidR="00612652" w:rsidRPr="006B1D3B" w:rsidRDefault="00612652" w:rsidP="002D608A">
      <w:pPr>
        <w:contextualSpacing/>
        <w:rPr>
          <w:rFonts w:ascii="David" w:eastAsia="Calibri" w:hAnsi="David" w:cs="David"/>
          <w:sz w:val="10"/>
          <w:szCs w:val="10"/>
          <w:rtl/>
        </w:rPr>
      </w:pPr>
    </w:p>
    <w:p w14:paraId="2511ACDF" w14:textId="77777777" w:rsidR="002462B4" w:rsidRPr="002462B4" w:rsidRDefault="002462B4" w:rsidP="002462B4">
      <w:pPr>
        <w:keepNext/>
        <w:keepLines/>
        <w:contextualSpacing/>
        <w:outlineLvl w:val="0"/>
        <w:rPr>
          <w:rFonts w:ascii="David" w:hAnsi="David" w:cs="David"/>
          <w:b/>
          <w:bCs/>
          <w:color w:val="2F5496"/>
          <w:sz w:val="32"/>
          <w:szCs w:val="32"/>
          <w:rtl/>
        </w:rPr>
      </w:pPr>
      <w:bookmarkStart w:id="4" w:name="_Hlk208479624"/>
      <w:bookmarkStart w:id="5" w:name="_Hlk208479582"/>
      <w:r w:rsidRPr="002462B4">
        <w:rPr>
          <w:rFonts w:ascii="David" w:hAnsi="David" w:cs="David" w:hint="cs"/>
          <w:b/>
          <w:bCs/>
          <w:color w:val="0070C0"/>
          <w:sz w:val="32"/>
          <w:szCs w:val="32"/>
          <w:rtl/>
        </w:rPr>
        <w:t xml:space="preserve">האם אפשר לסחוט את האיסור מתוך המאכל בו הוא נבלע? </w:t>
      </w:r>
    </w:p>
    <w:p w14:paraId="3221B2EA" w14:textId="77777777" w:rsidR="002462B4" w:rsidRPr="002462B4" w:rsidRDefault="002462B4" w:rsidP="002462B4">
      <w:pPr>
        <w:contextualSpacing/>
        <w:rPr>
          <w:rFonts w:ascii="David" w:hAnsi="David" w:cs="David"/>
          <w:rtl/>
        </w:rPr>
      </w:pPr>
    </w:p>
    <w:p w14:paraId="51D994EC" w14:textId="77777777" w:rsidR="002462B4" w:rsidRPr="002462B4" w:rsidRDefault="002462B4" w:rsidP="002462B4">
      <w:pPr>
        <w:contextualSpacing/>
        <w:rPr>
          <w:rFonts w:ascii="David" w:hAnsi="David" w:cs="David"/>
          <w:rtl/>
        </w:rPr>
      </w:pPr>
      <w:r w:rsidRPr="002462B4">
        <w:rPr>
          <w:rFonts w:ascii="David" w:hAnsi="David" w:cs="David" w:hint="cs"/>
          <w:rtl/>
        </w:rPr>
        <w:t>בשבועות האחרונים למדנו על היסודות של נתינת טעם. הפעם נתחיל לברר את גדרי ההלכה אחרי שטעם איסור התערב בדבר מותר.</w:t>
      </w:r>
    </w:p>
    <w:p w14:paraId="2332FA60" w14:textId="77777777" w:rsidR="002462B4" w:rsidRPr="002462B4" w:rsidRDefault="002462B4" w:rsidP="002462B4">
      <w:pPr>
        <w:contextualSpacing/>
        <w:rPr>
          <w:rFonts w:ascii="David" w:hAnsi="David" w:cs="David"/>
          <w:rtl/>
        </w:rPr>
      </w:pPr>
      <w:r w:rsidRPr="002462B4">
        <w:rPr>
          <w:rFonts w:ascii="David" w:hAnsi="David" w:cs="David" w:hint="cs"/>
          <w:rtl/>
        </w:rPr>
        <w:t xml:space="preserve">בתוך הדיון ב'טעם כעיקר' הבחנו בין 'מין במינו' ו'מין כשאינו מינו'. דבר שהתערב במה שאינו מינו ייתן טעם, ובכדי לבחון אם המאכל המותר נאסר עלינו לבדוק אם האיסור נתן בו טעם. אך כאשר מדובר במין במינו, לא ניתן לזהות את העברת הטעם, מפני שהטעמים זהים. דבר זה מוביל למחלוקת קיצונית: לפי חכמים, מכיוון שאין משמעות לטעם, האיסור בטל ברוב (וחכמים גזרו שהביטול יהיה בששים, כדין ביטול מין </w:t>
      </w:r>
      <w:proofErr w:type="spellStart"/>
      <w:r w:rsidRPr="002462B4">
        <w:rPr>
          <w:rFonts w:ascii="David" w:hAnsi="David" w:cs="David" w:hint="cs"/>
          <w:rtl/>
        </w:rPr>
        <w:t>בשאינו</w:t>
      </w:r>
      <w:proofErr w:type="spellEnd"/>
      <w:r w:rsidRPr="002462B4">
        <w:rPr>
          <w:rFonts w:ascii="David" w:hAnsi="David" w:cs="David" w:hint="cs"/>
          <w:rtl/>
        </w:rPr>
        <w:t xml:space="preserve"> מינו). לפי רבי יהודה: מין מבטל את שאינו מינו, וגורם לנו לא לחוש את טעמו, לכן הוא בטל. אך במין במינו ההיתר אינו מבטל את טעם האיסור, ולכן האיסור אינו בטל כלל. אפילו מעט איסור יאסור סיר שלם שהוא מינו.</w:t>
      </w:r>
    </w:p>
    <w:p w14:paraId="75BC0A24" w14:textId="77777777" w:rsidR="002462B4" w:rsidRPr="002462B4" w:rsidRDefault="002462B4" w:rsidP="002462B4">
      <w:pPr>
        <w:contextualSpacing/>
        <w:rPr>
          <w:rFonts w:ascii="David" w:hAnsi="David" w:cs="David"/>
          <w:rtl/>
        </w:rPr>
      </w:pPr>
    </w:p>
    <w:p w14:paraId="49DDFC0A" w14:textId="77777777" w:rsidR="002462B4" w:rsidRPr="002462B4" w:rsidRDefault="002462B4" w:rsidP="002462B4">
      <w:pPr>
        <w:contextualSpacing/>
        <w:rPr>
          <w:rFonts w:ascii="David" w:hAnsi="David" w:cs="David"/>
          <w:rtl/>
        </w:rPr>
      </w:pPr>
      <w:r w:rsidRPr="002462B4">
        <w:rPr>
          <w:rFonts w:ascii="David" w:hAnsi="David" w:cs="David" w:hint="cs"/>
          <w:rtl/>
        </w:rPr>
        <w:t>על פי העקרונות שלמדנו בשבועות האחרונים, אם חלב נשפך לתוך תבשיל, יש לשער אם יש פי ששים בתבשיל יחסית לחלב שנשפך.</w:t>
      </w:r>
    </w:p>
    <w:p w14:paraId="641AFA4D" w14:textId="77777777" w:rsidR="002462B4" w:rsidRPr="002462B4" w:rsidRDefault="002462B4" w:rsidP="002462B4">
      <w:pPr>
        <w:contextualSpacing/>
        <w:rPr>
          <w:rFonts w:ascii="David" w:hAnsi="David" w:cs="David"/>
          <w:rtl/>
        </w:rPr>
      </w:pPr>
      <w:r w:rsidRPr="002462B4">
        <w:rPr>
          <w:rFonts w:ascii="David" w:hAnsi="David" w:cs="David" w:hint="cs"/>
          <w:rtl/>
        </w:rPr>
        <w:t xml:space="preserve">המשנה בחולין (קח ע"א) עוסקת בטיפת חלב הנופלת לתוך תבשיל. אם הטיפה תיפול על חתיכת בשר הנפרדת מהתבשיל, </w:t>
      </w:r>
      <w:proofErr w:type="spellStart"/>
      <w:r w:rsidRPr="002462B4">
        <w:rPr>
          <w:rFonts w:ascii="David" w:hAnsi="David" w:cs="David" w:hint="cs"/>
          <w:rtl/>
        </w:rPr>
        <w:t>ותתן</w:t>
      </w:r>
      <w:proofErr w:type="spellEnd"/>
      <w:r w:rsidRPr="002462B4">
        <w:rPr>
          <w:rFonts w:ascii="David" w:hAnsi="David" w:cs="David" w:hint="cs"/>
          <w:rtl/>
        </w:rPr>
        <w:t xml:space="preserve"> בה טעם </w:t>
      </w:r>
      <w:r w:rsidRPr="002462B4">
        <w:rPr>
          <w:rFonts w:ascii="David" w:hAnsi="David" w:cs="David"/>
          <w:rtl/>
        </w:rPr>
        <w:t>–</w:t>
      </w:r>
      <w:r w:rsidRPr="002462B4">
        <w:rPr>
          <w:rFonts w:ascii="David" w:hAnsi="David" w:cs="David" w:hint="cs"/>
          <w:rtl/>
        </w:rPr>
        <w:t xml:space="preserve"> החתיכה </w:t>
      </w:r>
      <w:proofErr w:type="spellStart"/>
      <w:r w:rsidRPr="002462B4">
        <w:rPr>
          <w:rFonts w:ascii="David" w:hAnsi="David" w:cs="David" w:hint="cs"/>
          <w:rtl/>
        </w:rPr>
        <w:t>תאסר</w:t>
      </w:r>
      <w:proofErr w:type="spellEnd"/>
      <w:r w:rsidRPr="002462B4">
        <w:rPr>
          <w:rFonts w:ascii="David" w:hAnsi="David" w:cs="David" w:hint="cs"/>
          <w:rtl/>
        </w:rPr>
        <w:t xml:space="preserve">. אם לאחר מכן יערבב את התבשיל, נשער את היחס בין החתיכה כולה ובין התבשיל. במידה ובתבשיל יש פי ששים מאשר נפח החתיכה </w:t>
      </w:r>
      <w:r w:rsidRPr="002462B4">
        <w:rPr>
          <w:rFonts w:ascii="David" w:hAnsi="David" w:cs="David"/>
          <w:rtl/>
        </w:rPr>
        <w:t>–</w:t>
      </w:r>
      <w:r w:rsidRPr="002462B4">
        <w:rPr>
          <w:rFonts w:ascii="David" w:hAnsi="David" w:cs="David" w:hint="cs"/>
          <w:rtl/>
        </w:rPr>
        <w:t xml:space="preserve"> התבשיל מותר, ואם אין פי ששים בתבשיל יחסית לחתיכה כולה, התבשיל כולו ייאסר.</w:t>
      </w:r>
    </w:p>
    <w:p w14:paraId="7A0140AC" w14:textId="77777777" w:rsidR="002462B4" w:rsidRPr="002462B4" w:rsidRDefault="002462B4" w:rsidP="002462B4">
      <w:pPr>
        <w:contextualSpacing/>
        <w:rPr>
          <w:rFonts w:ascii="David" w:hAnsi="David" w:cs="David"/>
          <w:rtl/>
        </w:rPr>
      </w:pPr>
      <w:r w:rsidRPr="002462B4">
        <w:rPr>
          <w:rFonts w:ascii="David" w:hAnsi="David" w:cs="David" w:hint="cs"/>
          <w:rtl/>
        </w:rPr>
        <w:t>כלומר: אם החלב נופל ישירות לתבשיל ומתערבב בכולו, נשער את היחס בין התבשיל לחלב. אך אם החלב נכנס לחתיכת בשר, החתיכה נאסרה. אם היא תתערבב בתבשיל, כבר איננו משערים בחלב המקורי, אלא בחתיכת הבשר, שנחשבת חתיכת איסור בפני עצמה. החתיכה אינה נחשבת כבשר שבלוע בו איסור, אלא היא עצמה אסורה.</w:t>
      </w:r>
    </w:p>
    <w:p w14:paraId="1D1B0B7C" w14:textId="77777777" w:rsidR="002462B4" w:rsidRPr="002462B4" w:rsidRDefault="002462B4" w:rsidP="002462B4">
      <w:pPr>
        <w:contextualSpacing/>
        <w:rPr>
          <w:rFonts w:ascii="David" w:hAnsi="David" w:cs="David"/>
          <w:rtl/>
        </w:rPr>
      </w:pPr>
    </w:p>
    <w:p w14:paraId="31945769" w14:textId="77777777" w:rsidR="002462B4" w:rsidRPr="002462B4" w:rsidRDefault="002462B4" w:rsidP="002462B4">
      <w:pPr>
        <w:contextualSpacing/>
        <w:rPr>
          <w:rFonts w:ascii="David" w:hAnsi="David" w:cs="David"/>
          <w:rtl/>
        </w:rPr>
      </w:pPr>
      <w:r w:rsidRPr="002462B4">
        <w:rPr>
          <w:rFonts w:ascii="David" w:hAnsi="David" w:cs="David" w:hint="cs"/>
          <w:rtl/>
        </w:rPr>
        <w:t>עיקרון זה מתברר יותר בדברי רב (המופיעים בדף ק ע"א). דג שאינו כשר נופל לתוך תבשיל של בשר. הדג נותן טעם בחתיכת בשר אחת. החתיכה הזאת נאסרת. כעת מוציאים את הדג האסור, אך חתיכת הבשר מתערבבת בתבשיל. כיצד משערים את האיסור בשאר התבשיל?</w:t>
      </w:r>
    </w:p>
    <w:p w14:paraId="22EA15F0" w14:textId="77777777" w:rsidR="002462B4" w:rsidRPr="002462B4" w:rsidRDefault="002462B4" w:rsidP="002462B4">
      <w:pPr>
        <w:contextualSpacing/>
        <w:rPr>
          <w:rFonts w:ascii="David" w:hAnsi="David" w:cs="David"/>
          <w:rtl/>
        </w:rPr>
      </w:pPr>
      <w:r w:rsidRPr="002462B4">
        <w:rPr>
          <w:rFonts w:ascii="David" w:hAnsi="David" w:cs="David" w:hint="cs"/>
          <w:rtl/>
        </w:rPr>
        <w:t>לכאורה היינו אומרים כך: אחרי הוצאת הדג, נשער כמה מטעם הדג נמצא בבשר, ואת הטעם הזה יש לבטל ביחס לשאר התבשיל.</w:t>
      </w:r>
    </w:p>
    <w:p w14:paraId="095853E9" w14:textId="77777777" w:rsidR="002462B4" w:rsidRPr="002462B4" w:rsidRDefault="002462B4" w:rsidP="002462B4">
      <w:pPr>
        <w:contextualSpacing/>
        <w:rPr>
          <w:rFonts w:ascii="David" w:hAnsi="David" w:cs="David"/>
          <w:rtl/>
        </w:rPr>
      </w:pPr>
      <w:r w:rsidRPr="002462B4">
        <w:rPr>
          <w:rFonts w:ascii="David" w:hAnsi="David" w:cs="David" w:hint="cs"/>
          <w:rtl/>
        </w:rPr>
        <w:t xml:space="preserve">אך רב מחדש חידוש גדול: לפי רבי יהודה, כל הבשר בתבשיל ייאסר. מדוע? מפני שהבשר עצמו נחשב איסור. כלשונו "החתיכה עצמה נעשית נבלה". איננו מתייחסים לבשר כ"בשר שבלע דג אסור", אלא כאיסור עצמאי. מעתה, </w:t>
      </w:r>
      <w:r w:rsidRPr="002462B4">
        <w:rPr>
          <w:rFonts w:ascii="David" w:hAnsi="David" w:cs="David" w:hint="cs"/>
          <w:b/>
          <w:bCs/>
          <w:rtl/>
        </w:rPr>
        <w:t>הטעם של הבשר</w:t>
      </w:r>
      <w:r w:rsidRPr="002462B4">
        <w:rPr>
          <w:rFonts w:ascii="David" w:hAnsi="David" w:cs="David" w:hint="cs"/>
          <w:rtl/>
        </w:rPr>
        <w:t xml:space="preserve"> נחשב כאיסור עצמאי, אותו יש לבטל. לפני רבי יהודה אין לו ביטול, מפני שהוא מין במינו. כאמור, לולא דברי רב, רבי יהודה היה מודה שיש לבטל את הטעם של הדג, שאינו אותו המין כמו יתר הבשר.</w:t>
      </w:r>
    </w:p>
    <w:p w14:paraId="1C97BC35" w14:textId="77777777" w:rsidR="002462B4" w:rsidRPr="002462B4" w:rsidRDefault="002462B4" w:rsidP="002462B4">
      <w:pPr>
        <w:contextualSpacing/>
        <w:rPr>
          <w:rFonts w:ascii="David" w:hAnsi="David" w:cs="David"/>
          <w:rtl/>
        </w:rPr>
      </w:pPr>
    </w:p>
    <w:p w14:paraId="041BF754" w14:textId="77777777" w:rsidR="002462B4" w:rsidRPr="002462B4" w:rsidRDefault="002462B4" w:rsidP="002462B4">
      <w:pPr>
        <w:contextualSpacing/>
        <w:rPr>
          <w:rFonts w:ascii="David" w:hAnsi="David" w:cs="David"/>
          <w:rtl/>
        </w:rPr>
      </w:pPr>
      <w:r w:rsidRPr="002462B4">
        <w:rPr>
          <w:rFonts w:ascii="David" w:hAnsi="David" w:cs="David" w:hint="cs"/>
          <w:rtl/>
        </w:rPr>
        <w:t>במקרה הראשון שהבאנו מהמשנה פגשנו רעיון דומה: אחרי שהחלב אסר את הבשר, שאר התבשיל צריך לבטל את הבשר, ולא רק את החלב שנכנס לבשר.</w:t>
      </w:r>
    </w:p>
    <w:p w14:paraId="3FEBFC3A" w14:textId="77777777" w:rsidR="002462B4" w:rsidRPr="002462B4" w:rsidRDefault="002462B4" w:rsidP="002462B4">
      <w:pPr>
        <w:contextualSpacing/>
        <w:rPr>
          <w:rFonts w:ascii="David" w:hAnsi="David" w:cs="David"/>
          <w:rtl/>
        </w:rPr>
      </w:pPr>
      <w:r w:rsidRPr="002462B4">
        <w:rPr>
          <w:rFonts w:ascii="David" w:hAnsi="David" w:cs="David" w:hint="cs"/>
          <w:rtl/>
        </w:rPr>
        <w:t>איזה דין יותר מפתיע אותנו? ניתן לומר שתי סברות הפוכות:</w:t>
      </w:r>
    </w:p>
    <w:p w14:paraId="5B380513" w14:textId="77777777" w:rsidR="002462B4" w:rsidRPr="002462B4" w:rsidRDefault="002462B4" w:rsidP="002462B4">
      <w:pPr>
        <w:contextualSpacing/>
        <w:rPr>
          <w:rFonts w:ascii="David" w:hAnsi="David" w:cs="David"/>
          <w:rtl/>
        </w:rPr>
      </w:pPr>
      <w:r w:rsidRPr="002462B4">
        <w:rPr>
          <w:rFonts w:ascii="David" w:hAnsi="David" w:cs="David" w:hint="cs"/>
          <w:rtl/>
        </w:rPr>
        <w:t>מצד אחד: הבשר אינו אסור, והחלב אינו אסור. רק השילוב שלהם אסור. בחתיכת הבשר יש חלב. ערבוב החתיכה בתבשיל 'יסחט' את החלב לתוך שאר התבשיל. מעתה אין סיבה להתייחס לבשר הראשון כאסור יותר משאר החתיכות. אך כאשר איסור נבלע בהיתר, הבעיה אינה השילוב, אלא עצם זה שהטעם האסור נכנס בו. אחרי שנבלע בו היתר, לא ברור שניתן לשוב ולהתיר את החתיכה שנאסרה.</w:t>
      </w:r>
    </w:p>
    <w:p w14:paraId="0F279919" w14:textId="77777777" w:rsidR="002462B4" w:rsidRPr="002462B4" w:rsidRDefault="002462B4" w:rsidP="002462B4">
      <w:pPr>
        <w:contextualSpacing/>
        <w:rPr>
          <w:rFonts w:ascii="David" w:hAnsi="David" w:cs="David"/>
          <w:rtl/>
        </w:rPr>
      </w:pPr>
      <w:r w:rsidRPr="002462B4">
        <w:rPr>
          <w:rFonts w:ascii="David" w:hAnsi="David" w:cs="David" w:hint="cs"/>
          <w:rtl/>
        </w:rPr>
        <w:t>מצד שני: כאמור, הבשר אינו אסור, והחלב אינו אסור. כאשר הם נפגשים, שניהם נאסרים. לאחר מכן, חתיכת הבשר נופלת לתבשיל. נניח שהחלב נפלט. אך החלב אינו אסור יותר מהבשר: הרי החלב אינו מרכיב אסור יותר מהבשר. מפגשם יצר איסור, אך לא ניתן לומר שהאחד אסר את השני. הם אסרו זה את זה. על כן אין הצדקה לומר שהחלב הוא המרכיב האסור. אך כאשר דג שאינו כשר נותן טעם בחתיכת בשר, ברור מה המרכיב הכשר ומהו המרכיב שאינו כשר. במידה וניתן להפליט את טעם הדג, לכאורה יש יותר הצדקה לומר שהבשר חזר להיות כשר.</w:t>
      </w:r>
    </w:p>
    <w:p w14:paraId="7D291CD6" w14:textId="77777777" w:rsidR="002462B4" w:rsidRPr="002462B4" w:rsidRDefault="002462B4" w:rsidP="002462B4">
      <w:pPr>
        <w:contextualSpacing/>
        <w:rPr>
          <w:rFonts w:ascii="David" w:hAnsi="David" w:cs="David"/>
          <w:rtl/>
        </w:rPr>
      </w:pPr>
    </w:p>
    <w:p w14:paraId="2D4425E5" w14:textId="77777777" w:rsidR="002462B4" w:rsidRPr="002462B4" w:rsidRDefault="002462B4" w:rsidP="002462B4">
      <w:pPr>
        <w:contextualSpacing/>
        <w:rPr>
          <w:rFonts w:ascii="David" w:hAnsi="David" w:cs="David"/>
          <w:rtl/>
        </w:rPr>
      </w:pPr>
      <w:r w:rsidRPr="002462B4">
        <w:rPr>
          <w:rFonts w:ascii="David" w:hAnsi="David" w:cs="David" w:hint="cs"/>
          <w:rtl/>
        </w:rPr>
        <w:t xml:space="preserve">דינו של רב מצוטט שנית בדף קח. שם הגמרא שואלת: מה רב סובר? אם הוא סובר "אפשר </w:t>
      </w:r>
      <w:proofErr w:type="spellStart"/>
      <w:r w:rsidRPr="002462B4">
        <w:rPr>
          <w:rFonts w:ascii="David" w:hAnsi="David" w:cs="David" w:hint="cs"/>
          <w:rtl/>
        </w:rPr>
        <w:t>לסוחטו</w:t>
      </w:r>
      <w:proofErr w:type="spellEnd"/>
      <w:r w:rsidRPr="002462B4">
        <w:rPr>
          <w:rFonts w:ascii="David" w:hAnsi="David" w:cs="David" w:hint="cs"/>
          <w:rtl/>
        </w:rPr>
        <w:t xml:space="preserve"> מותר", מדוע החתיכה נעשית נבלה? כנראה שהוא סובר "אפשר </w:t>
      </w:r>
      <w:proofErr w:type="spellStart"/>
      <w:r w:rsidRPr="002462B4">
        <w:rPr>
          <w:rFonts w:ascii="David" w:hAnsi="David" w:cs="David" w:hint="cs"/>
          <w:rtl/>
        </w:rPr>
        <w:t>לסוחטו</w:t>
      </w:r>
      <w:proofErr w:type="spellEnd"/>
      <w:r w:rsidRPr="002462B4">
        <w:rPr>
          <w:rFonts w:ascii="David" w:hAnsi="David" w:cs="David" w:hint="cs"/>
          <w:rtl/>
        </w:rPr>
        <w:t xml:space="preserve"> אסור".</w:t>
      </w:r>
    </w:p>
    <w:p w14:paraId="2A6E8840" w14:textId="77777777" w:rsidR="002462B4" w:rsidRPr="002462B4" w:rsidRDefault="002462B4" w:rsidP="002462B4">
      <w:pPr>
        <w:contextualSpacing/>
        <w:rPr>
          <w:rFonts w:ascii="David" w:hAnsi="David" w:cs="David"/>
          <w:rtl/>
        </w:rPr>
      </w:pPr>
      <w:r w:rsidRPr="002462B4">
        <w:rPr>
          <w:rFonts w:ascii="David" w:hAnsi="David" w:cs="David" w:hint="cs"/>
          <w:rtl/>
        </w:rPr>
        <w:t xml:space="preserve">רש"י מבאר שהגמרא שואלת מהו הדין אם נצליח לסחוט את האיסור מההיתר. האם "אפשר </w:t>
      </w:r>
      <w:proofErr w:type="spellStart"/>
      <w:r w:rsidRPr="002462B4">
        <w:rPr>
          <w:rFonts w:ascii="David" w:hAnsi="David" w:cs="David" w:hint="cs"/>
          <w:rtl/>
        </w:rPr>
        <w:t>לסוחטו</w:t>
      </w:r>
      <w:proofErr w:type="spellEnd"/>
      <w:r w:rsidRPr="002462B4">
        <w:rPr>
          <w:rFonts w:ascii="David" w:hAnsi="David" w:cs="David" w:hint="cs"/>
          <w:rtl/>
        </w:rPr>
        <w:t xml:space="preserve"> מותר", כלומר, בהנחה שהאיסור נסחט, האם החתיכה תחזור ותהיה מותרת?</w:t>
      </w:r>
    </w:p>
    <w:p w14:paraId="6D6DD2B8" w14:textId="77777777" w:rsidR="002462B4" w:rsidRPr="002462B4" w:rsidRDefault="002462B4" w:rsidP="002462B4">
      <w:pPr>
        <w:contextualSpacing/>
        <w:rPr>
          <w:rFonts w:ascii="David" w:hAnsi="David" w:cs="David"/>
          <w:rtl/>
        </w:rPr>
      </w:pPr>
      <w:r w:rsidRPr="002462B4">
        <w:rPr>
          <w:rFonts w:ascii="David" w:hAnsi="David" w:cs="David" w:hint="cs"/>
          <w:rtl/>
        </w:rPr>
        <w:t xml:space="preserve">כלומר, אין כאן שתי שאלות נפרדות. הסיבה לכך שגם אם החתיכה תיסחט היא תישאר אסורה היא שהחתיכה עצמה מוגדרת כנבילה בפני עצמה. אנו אוסרים גם אם סוחטים את האיסור מפני שהחתיכה בעצמותה נחשבת כנבלה. גם </w:t>
      </w:r>
      <w:proofErr w:type="spellStart"/>
      <w:r w:rsidRPr="002462B4">
        <w:rPr>
          <w:rFonts w:ascii="David" w:hAnsi="David" w:cs="David" w:hint="cs"/>
          <w:rtl/>
        </w:rPr>
        <w:t>הרא"ה</w:t>
      </w:r>
      <w:proofErr w:type="spellEnd"/>
      <w:r w:rsidRPr="002462B4">
        <w:rPr>
          <w:rFonts w:ascii="David" w:hAnsi="David" w:cs="David" w:hint="cs"/>
          <w:rtl/>
        </w:rPr>
        <w:t xml:space="preserve"> (בספרו בדק הבית על </w:t>
      </w:r>
      <w:proofErr w:type="spellStart"/>
      <w:r w:rsidRPr="002462B4">
        <w:rPr>
          <w:rFonts w:ascii="David" w:hAnsi="David" w:cs="David" w:hint="cs"/>
          <w:rtl/>
        </w:rPr>
        <w:t>הרשב"א</w:t>
      </w:r>
      <w:proofErr w:type="spellEnd"/>
      <w:r w:rsidRPr="002462B4">
        <w:rPr>
          <w:rFonts w:ascii="David" w:hAnsi="David" w:cs="David" w:hint="cs"/>
          <w:rtl/>
        </w:rPr>
        <w:t>) מבאר כך.</w:t>
      </w:r>
    </w:p>
    <w:p w14:paraId="2939C406" w14:textId="77777777" w:rsidR="002462B4" w:rsidRPr="002462B4" w:rsidRDefault="002462B4" w:rsidP="002462B4">
      <w:pPr>
        <w:contextualSpacing/>
        <w:rPr>
          <w:rFonts w:ascii="David" w:hAnsi="David" w:cs="David"/>
          <w:rtl/>
        </w:rPr>
      </w:pPr>
      <w:r w:rsidRPr="002462B4">
        <w:rPr>
          <w:rFonts w:ascii="David" w:hAnsi="David" w:cs="David" w:hint="cs"/>
          <w:rtl/>
        </w:rPr>
        <w:t xml:space="preserve">אך </w:t>
      </w:r>
      <w:proofErr w:type="spellStart"/>
      <w:r w:rsidRPr="002462B4">
        <w:rPr>
          <w:rFonts w:ascii="David" w:hAnsi="David" w:cs="David" w:hint="cs"/>
          <w:rtl/>
        </w:rPr>
        <w:t>הרשב"א</w:t>
      </w:r>
      <w:proofErr w:type="spellEnd"/>
      <w:r w:rsidRPr="002462B4">
        <w:rPr>
          <w:rFonts w:ascii="David" w:hAnsi="David" w:cs="David" w:hint="cs"/>
          <w:rtl/>
        </w:rPr>
        <w:t xml:space="preserve"> </w:t>
      </w:r>
      <w:proofErr w:type="spellStart"/>
      <w:r w:rsidRPr="002462B4">
        <w:rPr>
          <w:rFonts w:ascii="David" w:hAnsi="David" w:cs="David" w:hint="cs"/>
          <w:rtl/>
        </w:rPr>
        <w:t>והר"ן</w:t>
      </w:r>
      <w:proofErr w:type="spellEnd"/>
      <w:r w:rsidRPr="002462B4">
        <w:rPr>
          <w:rFonts w:ascii="David" w:hAnsi="David" w:cs="David" w:hint="cs"/>
          <w:rtl/>
        </w:rPr>
        <w:t xml:space="preserve"> מסרבים לקבל את הטענה הזאת. הם אומרים שלפי רש"י </w:t>
      </w:r>
      <w:proofErr w:type="spellStart"/>
      <w:r w:rsidRPr="002462B4">
        <w:rPr>
          <w:rFonts w:ascii="David" w:hAnsi="David" w:cs="David" w:hint="cs"/>
          <w:rtl/>
        </w:rPr>
        <w:t>והרא"ה</w:t>
      </w:r>
      <w:proofErr w:type="spellEnd"/>
      <w:r w:rsidRPr="002462B4">
        <w:rPr>
          <w:rFonts w:ascii="David" w:hAnsi="David" w:cs="David" w:hint="cs"/>
          <w:rtl/>
        </w:rPr>
        <w:t xml:space="preserve"> הניסוח של הגמרא יוצא משונה: אם יש איסור למרות שסוחטים אזי ניתן לומר שהחתיכה אסורה? מה הטעם לחזור על אותו הדבר פעמיים?</w:t>
      </w:r>
    </w:p>
    <w:p w14:paraId="2821D24E" w14:textId="77777777" w:rsidR="002462B4" w:rsidRPr="002462B4" w:rsidRDefault="002462B4" w:rsidP="002462B4">
      <w:pPr>
        <w:contextualSpacing/>
        <w:rPr>
          <w:rFonts w:ascii="David" w:hAnsi="David" w:cs="David"/>
          <w:rtl/>
        </w:rPr>
      </w:pPr>
      <w:r w:rsidRPr="002462B4">
        <w:rPr>
          <w:rFonts w:ascii="David" w:hAnsi="David" w:cs="David" w:hint="cs"/>
          <w:rtl/>
        </w:rPr>
        <w:t xml:space="preserve">לכן </w:t>
      </w:r>
      <w:proofErr w:type="spellStart"/>
      <w:r w:rsidRPr="002462B4">
        <w:rPr>
          <w:rFonts w:ascii="David" w:hAnsi="David" w:cs="David" w:hint="cs"/>
          <w:rtl/>
        </w:rPr>
        <w:t>הר"ן</w:t>
      </w:r>
      <w:proofErr w:type="spellEnd"/>
      <w:r w:rsidRPr="002462B4">
        <w:rPr>
          <w:rFonts w:ascii="David" w:hAnsi="David" w:cs="David" w:hint="cs"/>
          <w:rtl/>
        </w:rPr>
        <w:t xml:space="preserve"> מבאר כך: השאלה אינה אודות המצב התיאורטי בו מצליחים לסחוט את החתיכה. השאלה היא אם ניתן להניח שהחתיכה נסחטה מן האיסור. כלומר "אפשר לסחטו", ועל כן "מותר", או "אפשר" לנסות "לסחטו", ועל כן "אסור".</w:t>
      </w:r>
    </w:p>
    <w:p w14:paraId="348DAFB0" w14:textId="77777777" w:rsidR="002462B4" w:rsidRPr="002462B4" w:rsidRDefault="002462B4" w:rsidP="002462B4">
      <w:pPr>
        <w:contextualSpacing/>
        <w:rPr>
          <w:rFonts w:ascii="David" w:hAnsi="David" w:cs="David"/>
          <w:rtl/>
        </w:rPr>
      </w:pPr>
      <w:r w:rsidRPr="002462B4">
        <w:rPr>
          <w:rFonts w:ascii="David" w:hAnsi="David" w:cs="David" w:hint="cs"/>
          <w:rtl/>
        </w:rPr>
        <w:t>נחדד יותר: נניח שהחלב נבלע בבשר בשעה שהבשר חם. נוצר קשר כימי המחבר את החלב לבשר. האם בישול של אותה החתיכה יפרק את הקשר הכימי הזה? עתה החתיכה מתערבת בתבשיל שלם. האם ניתן להניח שאותו קשר מקורי נפרם, וממילא ניתן לדון על היחס בין החלב המקורי והתבשיל?</w:t>
      </w:r>
    </w:p>
    <w:p w14:paraId="3A99B300" w14:textId="77777777" w:rsidR="002462B4" w:rsidRPr="002462B4" w:rsidRDefault="002462B4" w:rsidP="002462B4">
      <w:pPr>
        <w:contextualSpacing/>
        <w:rPr>
          <w:rFonts w:ascii="David" w:hAnsi="David" w:cs="David"/>
          <w:rtl/>
        </w:rPr>
      </w:pPr>
      <w:r w:rsidRPr="002462B4">
        <w:rPr>
          <w:rFonts w:ascii="David" w:hAnsi="David" w:cs="David" w:hint="cs"/>
          <w:rtl/>
        </w:rPr>
        <w:t xml:space="preserve">אומר </w:t>
      </w:r>
      <w:proofErr w:type="spellStart"/>
      <w:r w:rsidRPr="002462B4">
        <w:rPr>
          <w:rFonts w:ascii="David" w:hAnsi="David" w:cs="David" w:hint="cs"/>
          <w:rtl/>
        </w:rPr>
        <w:t>הר"ן</w:t>
      </w:r>
      <w:proofErr w:type="spellEnd"/>
      <w:r w:rsidRPr="002462B4">
        <w:rPr>
          <w:rFonts w:ascii="David" w:hAnsi="David" w:cs="David" w:hint="cs"/>
          <w:rtl/>
        </w:rPr>
        <w:t>: אם אנו חוששים לכך, זה יצדיק להתייחס לחתיכה כחתיכה חסרת תקנה, ועל כן נאמר ש"החתיכה עצמה נעשית נבלה". הסיבה שמתייחסים לחתיכה כנבלה הוא מפני שממנו האיסור לעולם לא ייפרד. אך אם אפשר להניח שבישול נוסף של החתיכה תפליט את האיסור, אין הצדקה להתייחס לחתיכה כולה כדבר אסור.</w:t>
      </w:r>
    </w:p>
    <w:p w14:paraId="3574EC74" w14:textId="77777777" w:rsidR="002462B4" w:rsidRPr="002462B4" w:rsidRDefault="002462B4" w:rsidP="002462B4">
      <w:pPr>
        <w:contextualSpacing/>
        <w:rPr>
          <w:rFonts w:ascii="David" w:hAnsi="David" w:cs="David"/>
          <w:rtl/>
        </w:rPr>
      </w:pPr>
      <w:r w:rsidRPr="002462B4">
        <w:rPr>
          <w:rFonts w:ascii="David" w:hAnsi="David" w:cs="David" w:hint="cs"/>
          <w:rtl/>
        </w:rPr>
        <w:lastRenderedPageBreak/>
        <w:t xml:space="preserve">מכאן </w:t>
      </w:r>
      <w:proofErr w:type="spellStart"/>
      <w:r w:rsidRPr="002462B4">
        <w:rPr>
          <w:rFonts w:ascii="David" w:hAnsi="David" w:cs="David" w:hint="cs"/>
          <w:rtl/>
        </w:rPr>
        <w:t>הר"ן</w:t>
      </w:r>
      <w:proofErr w:type="spellEnd"/>
      <w:r w:rsidRPr="002462B4">
        <w:rPr>
          <w:rFonts w:ascii="David" w:hAnsi="David" w:cs="David" w:hint="cs"/>
          <w:rtl/>
        </w:rPr>
        <w:t xml:space="preserve"> ממשיך וקובע: עיקר הדיון על </w:t>
      </w:r>
      <w:proofErr w:type="spellStart"/>
      <w:r w:rsidRPr="002462B4">
        <w:rPr>
          <w:rFonts w:ascii="David" w:hAnsi="David" w:cs="David" w:hint="cs"/>
          <w:rtl/>
        </w:rPr>
        <w:t>חענ"נ</w:t>
      </w:r>
      <w:proofErr w:type="spellEnd"/>
      <w:r w:rsidRPr="002462B4">
        <w:rPr>
          <w:rFonts w:ascii="David" w:hAnsi="David" w:cs="David" w:hint="cs"/>
          <w:rtl/>
        </w:rPr>
        <w:t xml:space="preserve"> מתחיל בבשר וחלב. אך גם אחרי שנקבע שביחס לבשר וחלב החתיכה המקורית שנאסרה לעולם לא תשוב להיתר, עדיין אפשר להתלבט מדוע: האם זה מפני שגם הבשר וגם החלב נחשבים אסורים, כל אחד בפני עצמו, או שזה מפני שפשוט לא ניתן להניח שהחלב אי פעם יוצא מהחתיכה?</w:t>
      </w:r>
    </w:p>
    <w:p w14:paraId="619FF5BB" w14:textId="77777777" w:rsidR="002462B4" w:rsidRPr="002462B4" w:rsidRDefault="002462B4" w:rsidP="002462B4">
      <w:pPr>
        <w:contextualSpacing/>
        <w:rPr>
          <w:rFonts w:ascii="David" w:hAnsi="David" w:cs="David"/>
          <w:rtl/>
        </w:rPr>
      </w:pPr>
      <w:r w:rsidRPr="002462B4">
        <w:rPr>
          <w:rFonts w:ascii="David" w:hAnsi="David" w:cs="David" w:hint="cs"/>
          <w:rtl/>
        </w:rPr>
        <w:t xml:space="preserve">הצעד הבא, אומר </w:t>
      </w:r>
      <w:proofErr w:type="spellStart"/>
      <w:r w:rsidRPr="002462B4">
        <w:rPr>
          <w:rFonts w:ascii="David" w:hAnsi="David" w:cs="David" w:hint="cs"/>
          <w:rtl/>
        </w:rPr>
        <w:t>הר"ן</w:t>
      </w:r>
      <w:proofErr w:type="spellEnd"/>
      <w:r w:rsidRPr="002462B4">
        <w:rPr>
          <w:rFonts w:ascii="David" w:hAnsi="David" w:cs="David" w:hint="cs"/>
          <w:rtl/>
        </w:rPr>
        <w:t>, הוא לחשוב אם להכליל את העיקרון הזה לשאר האיסורים. כלומר: ביחס לבשר וחלב, החתיכה אינה שבה להיתרה. אם עקרונית ניתן לסחוט את החלב מהבשר, אך אין זה מועיל לנו, מפני ששני המרכיבים (הבשר והחלב)</w:t>
      </w:r>
      <w:r w:rsidRPr="002462B4">
        <w:rPr>
          <w:rFonts w:ascii="David" w:hAnsi="David" w:cs="David" w:hint="cs"/>
        </w:rPr>
        <w:t xml:space="preserve"> </w:t>
      </w:r>
      <w:r w:rsidRPr="002462B4">
        <w:rPr>
          <w:rFonts w:ascii="David" w:hAnsi="David" w:cs="David" w:hint="cs"/>
          <w:rtl/>
        </w:rPr>
        <w:t xml:space="preserve">אסורים במידה שווה, טעם זה אינו שייך ביחס לאיסורים אחרים, ולכן ביחס אליהם לא נאמר </w:t>
      </w:r>
      <w:proofErr w:type="spellStart"/>
      <w:r w:rsidRPr="002462B4">
        <w:rPr>
          <w:rFonts w:ascii="David" w:hAnsi="David" w:cs="David" w:hint="cs"/>
          <w:rtl/>
        </w:rPr>
        <w:t>חענ"נ</w:t>
      </w:r>
      <w:proofErr w:type="spellEnd"/>
      <w:r w:rsidRPr="002462B4">
        <w:rPr>
          <w:rFonts w:ascii="David" w:hAnsi="David" w:cs="David" w:hint="cs"/>
          <w:rtl/>
        </w:rPr>
        <w:t>. אך אם הסיבה היא ש"אפשר לסחטו אסור", כלומר, אין אפשרות להניח שאכן כל החלב נפלט מהבשר, הטעם הזה נכון גם ביחס לאיסורים אחרים. לא ניתן להניח שטעם הדג שאינו כשר יצא מהבשר, ולכן נתייחס לבשר כולו כדבר אסור.</w:t>
      </w:r>
    </w:p>
    <w:p w14:paraId="50A2EDBC" w14:textId="77777777" w:rsidR="002462B4" w:rsidRPr="002462B4" w:rsidRDefault="002462B4" w:rsidP="002462B4">
      <w:pPr>
        <w:contextualSpacing/>
        <w:rPr>
          <w:rFonts w:ascii="David" w:hAnsi="David" w:cs="David"/>
          <w:rtl/>
        </w:rPr>
      </w:pPr>
    </w:p>
    <w:p w14:paraId="1587273B" w14:textId="77777777" w:rsidR="002462B4" w:rsidRPr="002462B4" w:rsidRDefault="002462B4" w:rsidP="002462B4">
      <w:pPr>
        <w:contextualSpacing/>
        <w:rPr>
          <w:rFonts w:ascii="David" w:hAnsi="David" w:cs="David"/>
          <w:rtl/>
        </w:rPr>
      </w:pPr>
      <w:r w:rsidRPr="002462B4">
        <w:rPr>
          <w:rFonts w:ascii="David" w:hAnsi="David" w:cs="David" w:hint="cs"/>
          <w:rtl/>
        </w:rPr>
        <w:t>כאמור, אנו צוללים לסוגיה מעט סבוכה. לכן נעמוד בזה לעת עתה. בעזרת ה' בפעם הבאה נחזור ונחדד את המחלוקת שלמדנו עד כאן, ונשלים את השיטות האחרות, בתקווה שהדברים יהיו נהירים וברורים.</w:t>
      </w:r>
    </w:p>
    <w:p w14:paraId="65E5700A" w14:textId="77777777" w:rsidR="00C859D7" w:rsidRPr="002864E4" w:rsidRDefault="00C859D7" w:rsidP="007B317D">
      <w:pPr>
        <w:contextualSpacing/>
        <w:jc w:val="center"/>
      </w:pPr>
    </w:p>
    <w:p w14:paraId="27E603F6" w14:textId="77777777" w:rsidR="00E43B21" w:rsidRDefault="00E43B21" w:rsidP="00E43B21">
      <w:pPr>
        <w:contextualSpacing/>
        <w:jc w:val="center"/>
        <w:rPr>
          <w:rStyle w:val="Hyperlink"/>
          <w:rFonts w:cs="David"/>
          <w:b/>
          <w:bCs/>
          <w:sz w:val="23"/>
          <w:szCs w:val="23"/>
          <w:u w:val="none"/>
          <w:rtl/>
          <w:lang w:eastAsia="he-IL"/>
        </w:rPr>
      </w:pPr>
      <w:hyperlink r:id="rId16" w:history="1">
        <w:r w:rsidR="001141B5" w:rsidRPr="00CB4B59">
          <w:rPr>
            <w:rStyle w:val="Hyperlink"/>
            <w:rFonts w:cs="David" w:hint="cs"/>
            <w:b/>
            <w:bCs/>
            <w:sz w:val="23"/>
            <w:szCs w:val="23"/>
            <w:rtl/>
            <w:lang w:eastAsia="he-IL"/>
          </w:rPr>
          <w:t>ארץ חמדה – קישור לשיעורי "מורנו" ביוטיוב</w:t>
        </w:r>
      </w:hyperlink>
      <w:bookmarkEnd w:id="4"/>
      <w:r w:rsidR="002864E4" w:rsidRPr="002864E4">
        <w:rPr>
          <w:rStyle w:val="Hyperlink"/>
          <w:rFonts w:cs="David" w:hint="cs"/>
          <w:b/>
          <w:bCs/>
          <w:sz w:val="23"/>
          <w:szCs w:val="23"/>
          <w:u w:val="none"/>
          <w:rtl/>
          <w:lang w:eastAsia="he-IL"/>
        </w:rPr>
        <w:t xml:space="preserve">          </w:t>
      </w:r>
    </w:p>
    <w:p w14:paraId="6CF0275F" w14:textId="24D203BC" w:rsidR="00C859D7" w:rsidRDefault="00C859D7" w:rsidP="00E43B21">
      <w:pPr>
        <w:contextualSpacing/>
        <w:jc w:val="center"/>
        <w:rPr>
          <w:rStyle w:val="Hyperlink"/>
          <w:rFonts w:cs="David"/>
          <w:b/>
          <w:bCs/>
          <w:sz w:val="23"/>
          <w:szCs w:val="23"/>
          <w:u w:val="none"/>
          <w:rtl/>
          <w:lang w:eastAsia="he-IL"/>
        </w:rPr>
      </w:pPr>
      <w:r w:rsidRPr="00A355EC">
        <w:rPr>
          <w:rFonts w:cs="David" w:hint="cs"/>
          <w:b/>
          <w:bCs/>
          <w:color w:val="0070C0"/>
          <w:rtl/>
          <w:lang w:eastAsia="he-IL"/>
        </w:rPr>
        <w:t xml:space="preserve">ניתן ליצור קשר עם הכותבים דרך:  </w:t>
      </w:r>
      <w:hyperlink r:id="rId17" w:history="1">
        <w:r w:rsidRPr="00A355EC">
          <w:rPr>
            <w:rFonts w:cs="David"/>
            <w:b/>
            <w:bCs/>
            <w:color w:val="0070C0"/>
            <w:u w:val="single"/>
            <w:lang w:eastAsia="he-IL"/>
          </w:rPr>
          <w:t>info@eretzhemdah.org</w:t>
        </w:r>
      </w:hyperlink>
    </w:p>
    <w:bookmarkEnd w:id="0"/>
    <w:bookmarkEnd w:id="5"/>
    <w:p w14:paraId="250F27A4" w14:textId="24A586C2" w:rsidR="000801C9" w:rsidRDefault="000801C9" w:rsidP="00D93BBC">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C859D7" w:rsidRPr="005648DA" w14:paraId="444D6A10" w14:textId="77777777" w:rsidTr="00C859D7">
        <w:tc>
          <w:tcPr>
            <w:tcW w:w="7226" w:type="dxa"/>
            <w:gridSpan w:val="14"/>
            <w:tcBorders>
              <w:top w:val="single" w:sz="4" w:space="0" w:color="auto"/>
              <w:left w:val="single" w:sz="4" w:space="0" w:color="auto"/>
              <w:bottom w:val="nil"/>
              <w:right w:val="nil"/>
            </w:tcBorders>
            <w:vAlign w:val="center"/>
          </w:tcPr>
          <w:p w14:paraId="1E2BCADF" w14:textId="77777777" w:rsidR="00C859D7" w:rsidRPr="005648DA" w:rsidRDefault="00C859D7" w:rsidP="00C859D7">
            <w:pPr>
              <w:spacing w:line="276" w:lineRule="auto"/>
              <w:contextualSpacing/>
              <w:jc w:val="center"/>
              <w:rPr>
                <w:rFonts w:cs="David"/>
                <w:b/>
                <w:bCs/>
                <w:sz w:val="6"/>
                <w:szCs w:val="6"/>
                <w:u w:val="single"/>
                <w:rtl/>
              </w:rPr>
            </w:pPr>
          </w:p>
          <w:p w14:paraId="11127DB8" w14:textId="450D4E32" w:rsidR="00C859D7" w:rsidRPr="005648DA" w:rsidRDefault="00C859D7" w:rsidP="00C859D7">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0D6DB1DF"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C859D7" w:rsidRPr="005648DA" w14:paraId="101ED499" w14:textId="77777777" w:rsidTr="00C859D7">
        <w:tc>
          <w:tcPr>
            <w:tcW w:w="1968" w:type="dxa"/>
            <w:gridSpan w:val="2"/>
            <w:tcBorders>
              <w:top w:val="nil"/>
              <w:left w:val="single" w:sz="4" w:space="0" w:color="auto"/>
              <w:bottom w:val="nil"/>
              <w:right w:val="nil"/>
            </w:tcBorders>
            <w:vAlign w:val="center"/>
          </w:tcPr>
          <w:p w14:paraId="68EACE89" w14:textId="4375F132" w:rsidR="00C859D7" w:rsidRPr="005648DA" w:rsidRDefault="00C859D7" w:rsidP="00C859D7">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13025F19"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D070930"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71F85EBC"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60574C81" w14:textId="77777777" w:rsidR="00C859D7" w:rsidRPr="005648DA" w:rsidRDefault="00C859D7" w:rsidP="00C859D7">
            <w:pPr>
              <w:spacing w:line="276" w:lineRule="auto"/>
              <w:contextualSpacing/>
              <w:jc w:val="center"/>
              <w:rPr>
                <w:rFonts w:cs="David"/>
                <w:b/>
                <w:bCs/>
                <w:color w:val="0070C0"/>
                <w:sz w:val="19"/>
                <w:szCs w:val="19"/>
              </w:rPr>
            </w:pPr>
          </w:p>
        </w:tc>
      </w:tr>
      <w:tr w:rsidR="00C859D7" w:rsidRPr="005648DA" w14:paraId="7D5FEDE9" w14:textId="77777777" w:rsidTr="00C859D7">
        <w:tc>
          <w:tcPr>
            <w:tcW w:w="849" w:type="dxa"/>
            <w:tcBorders>
              <w:top w:val="nil"/>
              <w:left w:val="single" w:sz="4" w:space="0" w:color="auto"/>
              <w:bottom w:val="nil"/>
              <w:right w:val="nil"/>
            </w:tcBorders>
            <w:vAlign w:val="center"/>
          </w:tcPr>
          <w:p w14:paraId="09CE9BFF" w14:textId="2B24529D" w:rsidR="00C859D7" w:rsidRPr="005648DA" w:rsidRDefault="00C859D7" w:rsidP="00C859D7">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564331C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6AD92BE1" w14:textId="77777777" w:rsidR="00C859D7" w:rsidRPr="005648DA" w:rsidRDefault="00C859D7" w:rsidP="00C859D7">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2875445C"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35CC4D5F"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79C10814"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C859D7" w:rsidRPr="005648DA" w14:paraId="29FB4CB3" w14:textId="77777777" w:rsidTr="00C859D7">
        <w:tc>
          <w:tcPr>
            <w:tcW w:w="1979" w:type="dxa"/>
            <w:gridSpan w:val="3"/>
            <w:tcBorders>
              <w:top w:val="nil"/>
              <w:left w:val="single" w:sz="4" w:space="0" w:color="auto"/>
              <w:bottom w:val="nil"/>
              <w:right w:val="nil"/>
            </w:tcBorders>
            <w:vAlign w:val="center"/>
          </w:tcPr>
          <w:p w14:paraId="6436ED37" w14:textId="46C1B942"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2A3754A3"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27B6BC25" w14:textId="77777777" w:rsidR="00C859D7" w:rsidRPr="005648DA" w:rsidRDefault="00C859D7" w:rsidP="00C859D7">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85CA37F" w14:textId="77777777" w:rsidR="00C859D7" w:rsidRPr="005648DA" w:rsidRDefault="00C859D7" w:rsidP="00C859D7">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04F900A1"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5F99CA8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C859D7" w:rsidRPr="005648DA" w14:paraId="74CA401B" w14:textId="77777777" w:rsidTr="00C859D7">
        <w:tc>
          <w:tcPr>
            <w:tcW w:w="2115" w:type="dxa"/>
            <w:gridSpan w:val="4"/>
            <w:tcBorders>
              <w:top w:val="nil"/>
              <w:left w:val="single" w:sz="4" w:space="0" w:color="auto"/>
              <w:bottom w:val="nil"/>
              <w:right w:val="nil"/>
            </w:tcBorders>
            <w:vAlign w:val="center"/>
          </w:tcPr>
          <w:p w14:paraId="28BA3696" w14:textId="525A449A"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0ACCDDE1"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7068BBDB" w14:textId="77777777" w:rsidR="00C859D7" w:rsidRPr="005648DA" w:rsidRDefault="00C859D7" w:rsidP="00C859D7">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7CFBA67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5D2DD7E7"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42C0AD6E" w14:textId="77777777" w:rsidR="00C859D7" w:rsidRPr="005648DA" w:rsidRDefault="00C859D7" w:rsidP="00C859D7">
            <w:pPr>
              <w:spacing w:line="276" w:lineRule="auto"/>
              <w:contextualSpacing/>
              <w:jc w:val="center"/>
              <w:rPr>
                <w:rFonts w:cs="David"/>
                <w:b/>
                <w:bCs/>
                <w:color w:val="0070C0"/>
                <w:sz w:val="19"/>
                <w:szCs w:val="19"/>
                <w:rtl/>
              </w:rPr>
            </w:pPr>
          </w:p>
        </w:tc>
      </w:tr>
      <w:tr w:rsidR="00C859D7" w:rsidRPr="005648DA" w14:paraId="2AD08462" w14:textId="77777777" w:rsidTr="00C859D7">
        <w:tc>
          <w:tcPr>
            <w:tcW w:w="2680" w:type="dxa"/>
            <w:gridSpan w:val="5"/>
            <w:tcBorders>
              <w:top w:val="nil"/>
              <w:left w:val="single" w:sz="4" w:space="0" w:color="auto"/>
              <w:bottom w:val="single" w:sz="4" w:space="0" w:color="auto"/>
              <w:right w:val="nil"/>
            </w:tcBorders>
            <w:vAlign w:val="center"/>
          </w:tcPr>
          <w:p w14:paraId="0E0A4246" w14:textId="20ACC8BD" w:rsidR="00C859D7" w:rsidRPr="005648DA" w:rsidRDefault="00C859D7" w:rsidP="00C859D7">
            <w:pPr>
              <w:spacing w:line="276" w:lineRule="auto"/>
              <w:contextualSpacing/>
              <w:jc w:val="center"/>
              <w:rPr>
                <w:rFonts w:cs="David"/>
                <w:b/>
                <w:bCs/>
                <w:color w:val="0070C0"/>
                <w:sz w:val="19"/>
                <w:szCs w:val="19"/>
                <w:rtl/>
              </w:rPr>
            </w:pPr>
          </w:p>
        </w:tc>
        <w:tc>
          <w:tcPr>
            <w:tcW w:w="4546" w:type="dxa"/>
            <w:gridSpan w:val="9"/>
            <w:tcBorders>
              <w:top w:val="nil"/>
              <w:left w:val="nil"/>
              <w:bottom w:val="single" w:sz="4" w:space="0" w:color="auto"/>
              <w:right w:val="nil"/>
            </w:tcBorders>
            <w:vAlign w:val="center"/>
          </w:tcPr>
          <w:p w14:paraId="3A9D31A6" w14:textId="77777777" w:rsidR="00C859D7" w:rsidRPr="005648DA" w:rsidRDefault="00C859D7" w:rsidP="00C859D7">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3B868C50" w14:textId="77777777" w:rsidR="00C859D7" w:rsidRPr="005648DA" w:rsidRDefault="00C859D7" w:rsidP="00C859D7">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33C1BF31" w14:textId="77777777" w:rsidR="00C859D7" w:rsidRPr="005648DA" w:rsidRDefault="00C859D7" w:rsidP="00C859D7">
            <w:pPr>
              <w:spacing w:line="276" w:lineRule="auto"/>
              <w:contextualSpacing/>
              <w:jc w:val="center"/>
              <w:rPr>
                <w:rFonts w:cs="David"/>
                <w:b/>
                <w:bCs/>
                <w:color w:val="0070C0"/>
                <w:sz w:val="19"/>
                <w:szCs w:val="19"/>
                <w:rtl/>
              </w:rPr>
            </w:pPr>
            <w:r>
              <w:rPr>
                <w:rFonts w:cs="David" w:hint="cs"/>
                <w:b/>
                <w:bCs/>
                <w:color w:val="0070C0"/>
                <w:sz w:val="19"/>
                <w:szCs w:val="19"/>
                <w:rtl/>
              </w:rPr>
              <w:t xml:space="preserve">נבו בן </w:t>
            </w:r>
            <w:proofErr w:type="spellStart"/>
            <w:r>
              <w:rPr>
                <w:rFonts w:cs="David" w:hint="cs"/>
                <w:b/>
                <w:bCs/>
                <w:color w:val="0070C0"/>
                <w:sz w:val="19"/>
                <w:szCs w:val="19"/>
                <w:rtl/>
              </w:rPr>
              <w:t>פריבה</w:t>
            </w:r>
            <w:proofErr w:type="spellEnd"/>
          </w:p>
        </w:tc>
      </w:tr>
    </w:tbl>
    <w:p w14:paraId="7748D72C" w14:textId="12F532F1" w:rsidR="00252659" w:rsidRDefault="00252659" w:rsidP="00601083">
      <w:pPr>
        <w:contextualSpacing/>
        <w:rPr>
          <w:rFonts w:cs="David"/>
          <w:rtl/>
        </w:rPr>
      </w:pPr>
    </w:p>
    <w:p w14:paraId="50F39819" w14:textId="77777777" w:rsidR="00F72641" w:rsidRDefault="00F72641" w:rsidP="00601083">
      <w:pPr>
        <w:contextualSpacing/>
        <w:rPr>
          <w:rFonts w:cs="David"/>
          <w:rtl/>
        </w:rPr>
      </w:pPr>
    </w:p>
    <w:p w14:paraId="198A8956" w14:textId="77777777" w:rsidR="00CC0BFE" w:rsidRPr="00CC0BFE" w:rsidRDefault="00CC0BFE" w:rsidP="00601083">
      <w:pPr>
        <w:contextualSpacing/>
        <w:rPr>
          <w:rFonts w:cs="David"/>
          <w:rtl/>
        </w:rPr>
      </w:pPr>
    </w:p>
    <w:p w14:paraId="64D2CB0C" w14:textId="3332EACD" w:rsidR="00C859D7" w:rsidRDefault="00C859D7" w:rsidP="00F35BD1">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47A0B34F" w14:textId="77777777" w:rsidR="00E43B21" w:rsidRPr="00E43B21" w:rsidRDefault="00E43B21" w:rsidP="00E43B21">
      <w:pPr>
        <w:contextualSpacing/>
        <w:rPr>
          <w:rFonts w:cs="David"/>
          <w:rtl/>
        </w:rPr>
      </w:pPr>
      <w:r w:rsidRPr="00E43B21">
        <w:rPr>
          <w:rFonts w:cs="David" w:hint="cs"/>
          <w:rtl/>
        </w:rPr>
        <w:t xml:space="preserve">(מתוך </w:t>
      </w:r>
      <w:proofErr w:type="spellStart"/>
      <w:r w:rsidRPr="00E43B21">
        <w:rPr>
          <w:rFonts w:cs="David" w:hint="cs"/>
          <w:rtl/>
        </w:rPr>
        <w:t>ח"ב</w:t>
      </w:r>
      <w:proofErr w:type="spellEnd"/>
      <w:r w:rsidRPr="00E43B21">
        <w:rPr>
          <w:rFonts w:cs="David" w:hint="cs"/>
          <w:rtl/>
        </w:rPr>
        <w:t>)</w:t>
      </w:r>
    </w:p>
    <w:p w14:paraId="7B0BB6B6" w14:textId="77777777" w:rsidR="00E43B21" w:rsidRPr="00E43B21" w:rsidRDefault="00E43B21" w:rsidP="00E43B21">
      <w:pPr>
        <w:contextualSpacing/>
        <w:rPr>
          <w:rFonts w:cs="David"/>
          <w:rtl/>
        </w:rPr>
      </w:pPr>
    </w:p>
    <w:p w14:paraId="0B6D5C3B" w14:textId="7DB2851D" w:rsidR="00E43B21" w:rsidRPr="00E43B21" w:rsidRDefault="00E43B21" w:rsidP="00E43B21">
      <w:pPr>
        <w:contextualSpacing/>
        <w:rPr>
          <w:rFonts w:cs="David"/>
          <w:b/>
          <w:bCs/>
          <w:sz w:val="32"/>
          <w:szCs w:val="32"/>
          <w:rtl/>
        </w:rPr>
      </w:pPr>
      <w:r w:rsidRPr="00E43B21">
        <w:rPr>
          <w:rFonts w:cs="David"/>
          <w:b/>
          <w:bCs/>
          <w:sz w:val="32"/>
          <w:szCs w:val="32"/>
          <w:rtl/>
        </w:rPr>
        <w:t xml:space="preserve">קיטו אקוודור                            </w:t>
      </w:r>
      <w:r w:rsidRPr="00E43B21">
        <w:rPr>
          <w:rFonts w:cs="David"/>
          <w:b/>
          <w:bCs/>
          <w:sz w:val="32"/>
          <w:szCs w:val="32"/>
          <w:rtl/>
        </w:rPr>
        <w:tab/>
      </w:r>
      <w:r w:rsidRPr="00E43B21">
        <w:rPr>
          <w:rFonts w:cs="David"/>
          <w:b/>
          <w:bCs/>
          <w:sz w:val="32"/>
          <w:szCs w:val="32"/>
          <w:rtl/>
        </w:rPr>
        <w:tab/>
        <w:t xml:space="preserve">           </w:t>
      </w:r>
      <w:r w:rsidRPr="00E43B21">
        <w:rPr>
          <w:rFonts w:cs="David"/>
          <w:b/>
          <w:bCs/>
          <w:sz w:val="32"/>
          <w:szCs w:val="32"/>
          <w:rtl/>
        </w:rPr>
        <w:tab/>
      </w:r>
      <w:r w:rsidRPr="00E43B21">
        <w:rPr>
          <w:rFonts w:cs="David"/>
          <w:b/>
          <w:bCs/>
          <w:sz w:val="32"/>
          <w:szCs w:val="32"/>
          <w:rtl/>
        </w:rPr>
        <w:tab/>
      </w:r>
      <w:r>
        <w:rPr>
          <w:rFonts w:cs="David" w:hint="cs"/>
          <w:b/>
          <w:bCs/>
          <w:sz w:val="32"/>
          <w:szCs w:val="32"/>
          <w:rtl/>
        </w:rPr>
        <w:t xml:space="preserve">                     </w:t>
      </w:r>
      <w:r w:rsidRPr="00E43B21">
        <w:rPr>
          <w:rFonts w:cs="David"/>
          <w:b/>
          <w:bCs/>
          <w:sz w:val="32"/>
          <w:szCs w:val="32"/>
        </w:rPr>
        <w:tab/>
        <w:t>Quito, Ecuador</w:t>
      </w:r>
    </w:p>
    <w:p w14:paraId="7D77FD80" w14:textId="77777777" w:rsidR="00E43B21" w:rsidRPr="00E43B21" w:rsidRDefault="00E43B21" w:rsidP="00E43B21">
      <w:pPr>
        <w:contextualSpacing/>
        <w:rPr>
          <w:rFonts w:cs="David"/>
          <w:rtl/>
        </w:rPr>
      </w:pPr>
      <w:r w:rsidRPr="00E43B21">
        <w:rPr>
          <w:rFonts w:cs="David"/>
          <w:rtl/>
        </w:rPr>
        <w:t>אדר ב' תשנ"ב</w:t>
      </w:r>
    </w:p>
    <w:p w14:paraId="7F450EEF" w14:textId="77777777" w:rsidR="00E43B21" w:rsidRPr="00E43B21" w:rsidRDefault="00E43B21" w:rsidP="00E43B21">
      <w:pPr>
        <w:contextualSpacing/>
        <w:rPr>
          <w:rFonts w:cs="David"/>
          <w:rtl/>
        </w:rPr>
      </w:pPr>
    </w:p>
    <w:p w14:paraId="175AD559" w14:textId="77777777" w:rsidR="00E43B21" w:rsidRPr="00E43B21" w:rsidRDefault="00E43B21" w:rsidP="00E43B21">
      <w:pPr>
        <w:keepNext/>
        <w:contextualSpacing/>
        <w:outlineLvl w:val="0"/>
        <w:rPr>
          <w:rFonts w:ascii="David" w:hAnsi="David" w:cs="David"/>
          <w:b/>
          <w:bCs/>
          <w:color w:val="0070C0"/>
          <w:kern w:val="2"/>
          <w:sz w:val="30"/>
          <w:szCs w:val="30"/>
          <w:rtl/>
          <w14:ligatures w14:val="standardContextual"/>
        </w:rPr>
      </w:pPr>
      <w:r w:rsidRPr="00E43B21">
        <w:rPr>
          <w:rFonts w:ascii="David" w:hAnsi="David" w:cs="David"/>
          <w:b/>
          <w:bCs/>
          <w:color w:val="0070C0"/>
          <w:kern w:val="2"/>
          <w:sz w:val="30"/>
          <w:szCs w:val="30"/>
          <w:rtl/>
          <w14:ligatures w14:val="standardContextual"/>
        </w:rPr>
        <w:t>זמן מצוות מתנות לאביונים-לפי הנותן או המקבל</w:t>
      </w:r>
    </w:p>
    <w:p w14:paraId="12B767D0" w14:textId="77777777" w:rsidR="00E43B21" w:rsidRPr="00E43B21" w:rsidRDefault="00E43B21" w:rsidP="00E43B21">
      <w:pPr>
        <w:rPr>
          <w:rFonts w:cs="David"/>
          <w:sz w:val="28"/>
          <w:szCs w:val="28"/>
          <w:rtl/>
        </w:rPr>
      </w:pPr>
    </w:p>
    <w:p w14:paraId="21165E0C" w14:textId="77777777" w:rsidR="00E43B21" w:rsidRPr="00E43B21" w:rsidRDefault="00E43B21" w:rsidP="00E43B21">
      <w:pPr>
        <w:keepNext/>
        <w:contextualSpacing/>
        <w:outlineLvl w:val="1"/>
        <w:rPr>
          <w:rFonts w:cs="David"/>
          <w:b/>
          <w:bCs/>
          <w:sz w:val="26"/>
          <w:szCs w:val="26"/>
          <w:rtl/>
        </w:rPr>
      </w:pPr>
      <w:r w:rsidRPr="00E43B21">
        <w:rPr>
          <w:rFonts w:cs="David"/>
          <w:b/>
          <w:bCs/>
          <w:sz w:val="26"/>
          <w:szCs w:val="26"/>
          <w:rtl/>
        </w:rPr>
        <w:t>שאלה</w:t>
      </w:r>
    </w:p>
    <w:p w14:paraId="7222B0C6" w14:textId="77777777" w:rsidR="00E43B21" w:rsidRPr="00E43B21" w:rsidRDefault="00E43B21" w:rsidP="00E43B21">
      <w:pPr>
        <w:ind w:right="-284"/>
        <w:contextualSpacing/>
        <w:rPr>
          <w:rFonts w:cs="David"/>
          <w:rtl/>
        </w:rPr>
      </w:pPr>
      <w:r w:rsidRPr="00E43B21">
        <w:rPr>
          <w:rFonts w:cs="David"/>
          <w:rtl/>
        </w:rPr>
        <w:t>במקומנו אין אפשרות לקיים מצוות מתנות לאביונים, כי אין עניים (יהודים), שלחתי כסף לארץ שיתנו את הכסף בשליחותי בפורים-האם צריך להקפיד על  הפרשי השעות (7 שעות)?</w:t>
      </w:r>
    </w:p>
    <w:p w14:paraId="37E48189" w14:textId="77777777" w:rsidR="00E43B21" w:rsidRPr="00E43B21" w:rsidRDefault="00E43B21" w:rsidP="00E43B21">
      <w:pPr>
        <w:ind w:right="-284"/>
        <w:contextualSpacing/>
        <w:rPr>
          <w:rFonts w:cs="David"/>
          <w:rtl/>
        </w:rPr>
      </w:pPr>
    </w:p>
    <w:p w14:paraId="544A23EF" w14:textId="77777777" w:rsidR="00E43B21" w:rsidRPr="00E43B21" w:rsidRDefault="00E43B21" w:rsidP="00E43B21">
      <w:pPr>
        <w:ind w:right="-284"/>
        <w:contextualSpacing/>
        <w:rPr>
          <w:rFonts w:cs="David"/>
          <w:b/>
          <w:bCs/>
          <w:sz w:val="26"/>
          <w:szCs w:val="26"/>
          <w:rtl/>
        </w:rPr>
      </w:pPr>
      <w:r w:rsidRPr="00E43B21">
        <w:rPr>
          <w:rFonts w:cs="David"/>
          <w:b/>
          <w:bCs/>
          <w:sz w:val="26"/>
          <w:szCs w:val="26"/>
          <w:rtl/>
        </w:rPr>
        <w:t>תשובה</w:t>
      </w:r>
    </w:p>
    <w:p w14:paraId="3B516662" w14:textId="77777777" w:rsidR="00E43B21" w:rsidRPr="00E43B21" w:rsidRDefault="00E43B21" w:rsidP="00E43B21">
      <w:pPr>
        <w:ind w:right="-284"/>
        <w:contextualSpacing/>
        <w:rPr>
          <w:rFonts w:cs="David"/>
          <w:rtl/>
        </w:rPr>
      </w:pPr>
      <w:r w:rsidRPr="00E43B21">
        <w:rPr>
          <w:rFonts w:cs="David"/>
          <w:rtl/>
        </w:rPr>
        <w:t>אין צריך שיהיה יום י"ד אצל משלח המעות, ודי שיהיה יום י"ד אצל העני המקבל</w:t>
      </w:r>
      <w:r w:rsidRPr="00E43B21">
        <w:rPr>
          <w:rFonts w:cs="David" w:hint="cs"/>
          <w:vertAlign w:val="superscript"/>
          <w:rtl/>
        </w:rPr>
        <w:t>1</w:t>
      </w:r>
      <w:r w:rsidRPr="00E43B21">
        <w:rPr>
          <w:rFonts w:cs="David"/>
          <w:rtl/>
        </w:rPr>
        <w:t>.</w:t>
      </w:r>
    </w:p>
    <w:p w14:paraId="3CD1A048" w14:textId="77777777" w:rsidR="00E43B21" w:rsidRPr="00E43B21" w:rsidRDefault="00E43B21" w:rsidP="00E43B21">
      <w:pPr>
        <w:ind w:right="-284"/>
        <w:contextualSpacing/>
        <w:rPr>
          <w:rFonts w:cs="David"/>
        </w:rPr>
      </w:pPr>
      <w:r w:rsidRPr="00E43B21">
        <w:rPr>
          <w:rFonts w:cs="David"/>
          <w:rtl/>
        </w:rPr>
        <w:t>ונוהגים לתת את המתנות לאביונים אחר קריאת המגילה בשחרית</w:t>
      </w:r>
      <w:r w:rsidRPr="00E43B21">
        <w:rPr>
          <w:rFonts w:cs="David" w:hint="cs"/>
          <w:vertAlign w:val="superscript"/>
          <w:rtl/>
        </w:rPr>
        <w:t>2</w:t>
      </w:r>
      <w:r w:rsidRPr="00E43B21">
        <w:rPr>
          <w:rFonts w:cs="David"/>
          <w:rtl/>
        </w:rPr>
        <w:t>, ועדיף שלא לחכות עד אחר הצהריים, כדי שהעני יוכל להשתמש במעות לסעודת פורים. (אם יתנו את המעות בארץ בפורים בבוקר, אזי בקיטו כבר יהיה אור לי"ד אדר, ואף המשלח כבר נמצא בתאריך פורים).</w:t>
      </w:r>
    </w:p>
    <w:p w14:paraId="50FECC76" w14:textId="77777777" w:rsidR="00E43B21" w:rsidRPr="00E43B21" w:rsidRDefault="00E43B21" w:rsidP="00E43B21">
      <w:pPr>
        <w:ind w:right="-284"/>
        <w:contextualSpacing/>
        <w:rPr>
          <w:rFonts w:cs="David"/>
        </w:rPr>
      </w:pPr>
    </w:p>
    <w:p w14:paraId="59F6B0B2" w14:textId="77777777" w:rsidR="00E43B21" w:rsidRPr="00E43B21" w:rsidRDefault="00E43B21" w:rsidP="00E43B21">
      <w:pPr>
        <w:ind w:right="-284"/>
        <w:contextualSpacing/>
        <w:rPr>
          <w:rFonts w:cs="David"/>
          <w:sz w:val="10"/>
          <w:szCs w:val="10"/>
          <w:rtl/>
        </w:rPr>
      </w:pPr>
      <w:r w:rsidRPr="00E43B21">
        <w:rPr>
          <w:rFonts w:cs="David" w:hint="cs"/>
          <w:sz w:val="10"/>
          <w:szCs w:val="10"/>
          <w:rtl/>
        </w:rPr>
        <w:t>_________________________________________________</w:t>
      </w:r>
    </w:p>
    <w:p w14:paraId="67E570BB" w14:textId="77777777" w:rsidR="00E43B21" w:rsidRPr="00E43B21" w:rsidRDefault="00E43B21" w:rsidP="00E43B21">
      <w:pPr>
        <w:ind w:right="-284"/>
        <w:contextualSpacing/>
        <w:rPr>
          <w:rFonts w:cs="David"/>
          <w:sz w:val="10"/>
          <w:szCs w:val="10"/>
        </w:rPr>
      </w:pPr>
    </w:p>
    <w:p w14:paraId="6822AE7E" w14:textId="77777777" w:rsidR="00E43B21" w:rsidRPr="00E43B21" w:rsidRDefault="00E43B21" w:rsidP="00E43B21">
      <w:pPr>
        <w:ind w:left="141" w:hanging="141"/>
        <w:rPr>
          <w:rFonts w:cs="David"/>
          <w:sz w:val="22"/>
          <w:szCs w:val="22"/>
          <w:rtl/>
        </w:rPr>
      </w:pPr>
      <w:r w:rsidRPr="00E43B21">
        <w:rPr>
          <w:rFonts w:cs="David"/>
          <w:sz w:val="22"/>
          <w:szCs w:val="22"/>
          <w:vertAlign w:val="superscript"/>
          <w:rtl/>
        </w:rPr>
        <w:footnoteRef/>
      </w:r>
      <w:r w:rsidRPr="00E43B21">
        <w:rPr>
          <w:rFonts w:cs="David"/>
          <w:sz w:val="22"/>
          <w:szCs w:val="22"/>
          <w:rtl/>
        </w:rPr>
        <w:t xml:space="preserve">  מצאנו שעיקר </w:t>
      </w:r>
      <w:proofErr w:type="spellStart"/>
      <w:r w:rsidRPr="00E43B21">
        <w:rPr>
          <w:rFonts w:cs="David"/>
          <w:sz w:val="22"/>
          <w:szCs w:val="22"/>
          <w:rtl/>
        </w:rPr>
        <w:t>הקפידא</w:t>
      </w:r>
      <w:proofErr w:type="spellEnd"/>
      <w:r w:rsidRPr="00E43B21">
        <w:rPr>
          <w:rFonts w:cs="David"/>
          <w:sz w:val="22"/>
          <w:szCs w:val="22"/>
          <w:rtl/>
        </w:rPr>
        <w:t xml:space="preserve"> אצל פוסקים היא באשר לקבלת העני את המעות ביום שהוא חוגג את הפורים, ו"עיניהם של עניים-נשואות למקרא מגילה", (מגילה ד ע"ב), ועל כן כתבו שאפשר לשלוח על ידי שליח קודם י"ד, כדי שיגיע אל העני ביום י"ד-"ערוך השולחן" אורח חיים סי' תרצד, ב, וכן שלא לתת המעות לעני קודם יום י"ד-"ביאור הלכה" סי' תרצד ד"ה ליתן לפחות, ובקיום </w:t>
      </w:r>
      <w:proofErr w:type="spellStart"/>
      <w:r w:rsidRPr="00E43B21">
        <w:rPr>
          <w:rFonts w:cs="David"/>
          <w:sz w:val="22"/>
          <w:szCs w:val="22"/>
          <w:rtl/>
        </w:rPr>
        <w:t>המצוה</w:t>
      </w:r>
      <w:proofErr w:type="spellEnd"/>
      <w:r w:rsidRPr="00E43B21">
        <w:rPr>
          <w:rFonts w:cs="David"/>
          <w:sz w:val="22"/>
          <w:szCs w:val="22"/>
          <w:rtl/>
        </w:rPr>
        <w:t xml:space="preserve"> הולכים אחר הזמן הנוהג במקום עשיית </w:t>
      </w:r>
      <w:proofErr w:type="spellStart"/>
      <w:r w:rsidRPr="00E43B21">
        <w:rPr>
          <w:rFonts w:cs="David"/>
          <w:sz w:val="22"/>
          <w:szCs w:val="22"/>
          <w:rtl/>
        </w:rPr>
        <w:t>המצוה</w:t>
      </w:r>
      <w:proofErr w:type="spellEnd"/>
      <w:r w:rsidRPr="00E43B21">
        <w:rPr>
          <w:rFonts w:cs="David"/>
          <w:sz w:val="22"/>
          <w:szCs w:val="22"/>
          <w:rtl/>
        </w:rPr>
        <w:t xml:space="preserve">-עיין "ילקוט יוסף" </w:t>
      </w:r>
      <w:proofErr w:type="spellStart"/>
      <w:r w:rsidRPr="00E43B21">
        <w:rPr>
          <w:rFonts w:cs="David"/>
          <w:sz w:val="22"/>
          <w:szCs w:val="22"/>
          <w:rtl/>
        </w:rPr>
        <w:t>ח"ה</w:t>
      </w:r>
      <w:proofErr w:type="spellEnd"/>
      <w:r w:rsidRPr="00E43B21">
        <w:rPr>
          <w:rFonts w:cs="David"/>
          <w:sz w:val="22"/>
          <w:szCs w:val="22"/>
          <w:rtl/>
        </w:rPr>
        <w:t xml:space="preserve"> "מועדים" עמ' </w:t>
      </w:r>
      <w:proofErr w:type="spellStart"/>
      <w:r w:rsidRPr="00E43B21">
        <w:rPr>
          <w:rFonts w:cs="David"/>
          <w:sz w:val="22"/>
          <w:szCs w:val="22"/>
          <w:rtl/>
        </w:rPr>
        <w:t>רלא</w:t>
      </w:r>
      <w:proofErr w:type="spellEnd"/>
      <w:r w:rsidRPr="00E43B21">
        <w:rPr>
          <w:rFonts w:cs="David"/>
          <w:sz w:val="22"/>
          <w:szCs w:val="22"/>
          <w:rtl/>
        </w:rPr>
        <w:t xml:space="preserve">, לגבי הדלקת נר חנוכה, ו"מנחת יצחק" </w:t>
      </w:r>
      <w:proofErr w:type="spellStart"/>
      <w:r w:rsidRPr="00E43B21">
        <w:rPr>
          <w:rFonts w:cs="David"/>
          <w:sz w:val="22"/>
          <w:szCs w:val="22"/>
          <w:rtl/>
        </w:rPr>
        <w:t>ח"ח</w:t>
      </w:r>
      <w:proofErr w:type="spellEnd"/>
      <w:r w:rsidRPr="00E43B21">
        <w:rPr>
          <w:rFonts w:cs="David"/>
          <w:sz w:val="22"/>
          <w:szCs w:val="22"/>
          <w:rtl/>
        </w:rPr>
        <w:t xml:space="preserve"> סי' נ לגבי ספירת העומר. </w:t>
      </w:r>
    </w:p>
    <w:p w14:paraId="158CFB95" w14:textId="2B85AC4C" w:rsidR="00E43B21" w:rsidRPr="00E43B21" w:rsidRDefault="00E43B21" w:rsidP="00E43B21">
      <w:pPr>
        <w:ind w:left="141" w:hanging="141"/>
        <w:rPr>
          <w:rFonts w:cs="David"/>
          <w:sz w:val="22"/>
          <w:szCs w:val="22"/>
        </w:rPr>
      </w:pPr>
      <w:proofErr w:type="gramStart"/>
      <w:r w:rsidRPr="00E43B21">
        <w:rPr>
          <w:rFonts w:ascii="David" w:hAnsi="David" w:cs="David"/>
          <w:sz w:val="22"/>
          <w:szCs w:val="22"/>
          <w:vertAlign w:val="superscript"/>
        </w:rPr>
        <w:t>2</w:t>
      </w:r>
      <w:r w:rsidRPr="00E43B21">
        <w:rPr>
          <w:rFonts w:cs="David"/>
          <w:sz w:val="22"/>
          <w:szCs w:val="22"/>
          <w:rtl/>
        </w:rPr>
        <w:t xml:space="preserve"> </w:t>
      </w:r>
      <w:r>
        <w:rPr>
          <w:rFonts w:cs="David" w:hint="cs"/>
          <w:sz w:val="22"/>
          <w:szCs w:val="22"/>
          <w:rtl/>
        </w:rPr>
        <w:t xml:space="preserve"> </w:t>
      </w:r>
      <w:r w:rsidRPr="00E43B21">
        <w:rPr>
          <w:rFonts w:cs="David"/>
          <w:sz w:val="22"/>
          <w:szCs w:val="22"/>
          <w:rtl/>
        </w:rPr>
        <w:t>"</w:t>
      </w:r>
      <w:proofErr w:type="gramEnd"/>
      <w:r w:rsidRPr="00E43B21">
        <w:rPr>
          <w:rFonts w:cs="David"/>
          <w:sz w:val="22"/>
          <w:szCs w:val="22"/>
          <w:rtl/>
        </w:rPr>
        <w:t xml:space="preserve">מגן אברהם" </w:t>
      </w:r>
      <w:proofErr w:type="spellStart"/>
      <w:r w:rsidRPr="00E43B21">
        <w:rPr>
          <w:rFonts w:cs="David"/>
          <w:sz w:val="22"/>
          <w:szCs w:val="22"/>
          <w:rtl/>
        </w:rPr>
        <w:t>שו"ע</w:t>
      </w:r>
      <w:proofErr w:type="spellEnd"/>
      <w:r w:rsidRPr="00E43B21">
        <w:rPr>
          <w:rFonts w:cs="David"/>
          <w:sz w:val="22"/>
          <w:szCs w:val="22"/>
          <w:rtl/>
        </w:rPr>
        <w:t xml:space="preserve"> אורח חיים סי' תרצד, ב, "כף החיים" סי' תרצד </w:t>
      </w:r>
      <w:proofErr w:type="spellStart"/>
      <w:r w:rsidRPr="00E43B21">
        <w:rPr>
          <w:rFonts w:cs="David"/>
          <w:sz w:val="22"/>
          <w:szCs w:val="22"/>
          <w:rtl/>
        </w:rPr>
        <w:t>ס"ק</w:t>
      </w:r>
      <w:proofErr w:type="spellEnd"/>
      <w:r w:rsidRPr="00E43B21">
        <w:rPr>
          <w:rFonts w:cs="David"/>
          <w:sz w:val="22"/>
          <w:szCs w:val="22"/>
          <w:rtl/>
        </w:rPr>
        <w:t xml:space="preserve"> </w:t>
      </w:r>
      <w:proofErr w:type="spellStart"/>
      <w:r w:rsidRPr="00E43B21">
        <w:rPr>
          <w:rFonts w:cs="David"/>
          <w:sz w:val="22"/>
          <w:szCs w:val="22"/>
          <w:rtl/>
        </w:rPr>
        <w:t>יח</w:t>
      </w:r>
      <w:proofErr w:type="spellEnd"/>
      <w:r w:rsidRPr="00E43B21">
        <w:rPr>
          <w:rFonts w:cs="David"/>
          <w:sz w:val="22"/>
          <w:szCs w:val="22"/>
          <w:rtl/>
        </w:rPr>
        <w:t xml:space="preserve"> </w:t>
      </w:r>
      <w:proofErr w:type="spellStart"/>
      <w:r w:rsidRPr="00E43B21">
        <w:rPr>
          <w:rFonts w:cs="David"/>
          <w:sz w:val="22"/>
          <w:szCs w:val="22"/>
          <w:rtl/>
        </w:rPr>
        <w:t>וס"ק</w:t>
      </w:r>
      <w:proofErr w:type="spellEnd"/>
      <w:r w:rsidRPr="00E43B21">
        <w:rPr>
          <w:rFonts w:cs="David"/>
          <w:sz w:val="22"/>
          <w:szCs w:val="22"/>
          <w:rtl/>
        </w:rPr>
        <w:t xml:space="preserve"> </w:t>
      </w:r>
      <w:proofErr w:type="spellStart"/>
      <w:r w:rsidRPr="00E43B21">
        <w:rPr>
          <w:rFonts w:cs="David"/>
          <w:sz w:val="22"/>
          <w:szCs w:val="22"/>
          <w:rtl/>
        </w:rPr>
        <w:t>כו</w:t>
      </w:r>
      <w:proofErr w:type="spellEnd"/>
      <w:r w:rsidRPr="00E43B21">
        <w:rPr>
          <w:rFonts w:cs="David"/>
          <w:sz w:val="22"/>
          <w:szCs w:val="22"/>
          <w:rtl/>
        </w:rPr>
        <w:t xml:space="preserve">, "משנה ברורה" סי' תרצד </w:t>
      </w:r>
      <w:proofErr w:type="spellStart"/>
      <w:r w:rsidRPr="00E43B21">
        <w:rPr>
          <w:rFonts w:cs="David"/>
          <w:sz w:val="22"/>
          <w:szCs w:val="22"/>
          <w:rtl/>
        </w:rPr>
        <w:t>ס"ק</w:t>
      </w:r>
      <w:proofErr w:type="spellEnd"/>
      <w:r w:rsidRPr="00E43B21">
        <w:rPr>
          <w:rFonts w:cs="David"/>
          <w:sz w:val="22"/>
          <w:szCs w:val="22"/>
          <w:rtl/>
        </w:rPr>
        <w:t xml:space="preserve"> ד.</w:t>
      </w:r>
    </w:p>
    <w:p w14:paraId="5C9C3481" w14:textId="77777777" w:rsidR="00E43B21" w:rsidRPr="00E43B21" w:rsidRDefault="00E43B21" w:rsidP="00E43B21">
      <w:pPr>
        <w:ind w:left="141" w:hanging="141"/>
        <w:rPr>
          <w:rFonts w:cs="David"/>
          <w:sz w:val="22"/>
          <w:szCs w:val="22"/>
        </w:rPr>
      </w:pPr>
    </w:p>
    <w:p w14:paraId="4EA481C1" w14:textId="77777777" w:rsidR="003E66A1" w:rsidRDefault="003E66A1" w:rsidP="00900422">
      <w:pPr>
        <w:ind w:left="2695"/>
        <w:jc w:val="center"/>
        <w:rPr>
          <w:rFonts w:cs="David"/>
          <w:rtl/>
          <w:lang w:eastAsia="he-IL"/>
        </w:rPr>
      </w:pPr>
    </w:p>
    <w:p w14:paraId="47B4423D" w14:textId="6D396A00" w:rsidR="00900422" w:rsidRPr="00900422" w:rsidRDefault="00900422" w:rsidP="00900422">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277F4C7" w:rsidR="00900422" w:rsidRDefault="00900422" w:rsidP="00900422">
      <w:pPr>
        <w:ind w:left="2695"/>
        <w:jc w:val="center"/>
        <w:rPr>
          <w:rFonts w:cs="David"/>
          <w:lang w:eastAsia="he-IL"/>
        </w:rPr>
      </w:pPr>
      <w:r w:rsidRPr="00900422">
        <w:rPr>
          <w:rFonts w:cs="David"/>
          <w:rtl/>
          <w:lang w:eastAsia="he-IL"/>
        </w:rPr>
        <w:t>רא</w:t>
      </w:r>
      <w:r w:rsidRPr="00900422">
        <w:rPr>
          <w:rFonts w:cs="David" w:hint="cs"/>
          <w:rtl/>
          <w:lang w:eastAsia="he-IL"/>
        </w:rPr>
        <w:t>שי הכולל</w:t>
      </w:r>
    </w:p>
    <w:p w14:paraId="1C47903B" w14:textId="77777777" w:rsidR="003E66A1" w:rsidRDefault="003E66A1" w:rsidP="002864E4">
      <w:pPr>
        <w:ind w:left="2695"/>
        <w:jc w:val="center"/>
        <w:rPr>
          <w:rFonts w:cs="David"/>
          <w:rtl/>
        </w:rPr>
      </w:pPr>
    </w:p>
    <w:p w14:paraId="0E305AAF" w14:textId="1812976B" w:rsidR="002864E4" w:rsidRPr="00F02573" w:rsidRDefault="002864E4" w:rsidP="002864E4">
      <w:pPr>
        <w:ind w:left="2695"/>
        <w:jc w:val="center"/>
        <w:rPr>
          <w:rFonts w:cs="David"/>
          <w:rtl/>
        </w:rPr>
      </w:pPr>
      <w:r w:rsidRPr="00F02573">
        <w:rPr>
          <w:rFonts w:cs="David" w:hint="cs"/>
          <w:rtl/>
        </w:rPr>
        <w:t>גם</w:t>
      </w:r>
      <w:r w:rsidRPr="00F02573">
        <w:rPr>
          <w:rFonts w:cs="David"/>
          <w:rtl/>
        </w:rPr>
        <w:t xml:space="preserve"> </w:t>
      </w:r>
      <w:r w:rsidRPr="00F02573">
        <w:rPr>
          <w:rFonts w:cs="David" w:hint="cs"/>
          <w:rtl/>
        </w:rPr>
        <w:t>אני מאשר:</w:t>
      </w:r>
    </w:p>
    <w:p w14:paraId="7013A976" w14:textId="381EE128" w:rsidR="002864E4" w:rsidRDefault="002864E4" w:rsidP="002864E4">
      <w:pPr>
        <w:ind w:left="2695"/>
        <w:jc w:val="center"/>
        <w:rPr>
          <w:rFonts w:cs="David"/>
          <w:rtl/>
        </w:rPr>
      </w:pPr>
      <w:r w:rsidRPr="00F02573">
        <w:rPr>
          <w:rFonts w:cs="David"/>
          <w:rtl/>
        </w:rPr>
        <w:t>הרב</w:t>
      </w:r>
      <w:r w:rsidRPr="00F02573">
        <w:rPr>
          <w:rFonts w:cs="David" w:hint="cs"/>
          <w:rtl/>
        </w:rPr>
        <w:t xml:space="preserve"> שאול ישראלי</w:t>
      </w:r>
    </w:p>
    <w:p w14:paraId="13B0814B" w14:textId="77777777" w:rsidR="00E43B21" w:rsidRPr="00F02573" w:rsidRDefault="00E43B21" w:rsidP="002864E4">
      <w:pPr>
        <w:ind w:left="2695"/>
        <w:jc w:val="center"/>
        <w:rPr>
          <w:rFonts w:cs="David"/>
          <w:rtl/>
        </w:rPr>
      </w:pPr>
    </w:p>
    <w:p w14:paraId="11C34CFC" w14:textId="77777777" w:rsidR="00C859D7" w:rsidRDefault="00C859D7"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3CB64918" w14:textId="77777777" w:rsidR="00E43B21" w:rsidRDefault="00E43B21" w:rsidP="00E43B21">
      <w:pPr>
        <w:contextualSpacing/>
        <w:jc w:val="center"/>
        <w:rPr>
          <w:rStyle w:val="Hyperlink"/>
          <w:rFonts w:cs="David"/>
          <w:b/>
          <w:bCs/>
          <w:color w:val="002060"/>
          <w:u w:val="none"/>
          <w:rtl/>
          <w:lang w:eastAsia="he-IL"/>
        </w:rPr>
      </w:pPr>
      <w:hyperlink r:id="rId19"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1A4E6F">
        <w:rPr>
          <w:rStyle w:val="Hyperlink"/>
          <w:rFonts w:cs="David" w:hint="cs"/>
          <w:b/>
          <w:bCs/>
          <w:color w:val="002060"/>
          <w:u w:val="none"/>
          <w:rtl/>
          <w:lang w:eastAsia="he-IL"/>
        </w:rPr>
        <w:t xml:space="preserve">   </w:t>
      </w:r>
    </w:p>
    <w:p w14:paraId="1AA7C342" w14:textId="3E32C4D7" w:rsidR="003E66A1" w:rsidRDefault="004E0D60" w:rsidP="00E43B21">
      <w:pPr>
        <w:contextualSpacing/>
        <w:jc w:val="center"/>
        <w:rPr>
          <w:color w:val="0070C0"/>
          <w:rtl/>
        </w:rPr>
      </w:pPr>
      <w:r w:rsidRPr="00C71B59">
        <w:rPr>
          <w:rFonts w:cs="David" w:hint="cs"/>
          <w:b/>
          <w:bCs/>
          <w:color w:val="0070C0"/>
          <w:rtl/>
          <w:lang w:eastAsia="he-IL"/>
        </w:rPr>
        <w:t>ני</w:t>
      </w:r>
      <w:r w:rsidRPr="00C71B59">
        <w:rPr>
          <w:rFonts w:cs="David"/>
          <w:b/>
          <w:bCs/>
          <w:color w:val="0070C0"/>
          <w:rtl/>
          <w:lang w:eastAsia="he-IL"/>
        </w:rPr>
        <w:t>תן ליצור קשר עם הכותבים דרך</w:t>
      </w:r>
      <w:r w:rsidRPr="00C71B59">
        <w:rPr>
          <w:rFonts w:cs="David" w:hint="cs"/>
          <w:b/>
          <w:bCs/>
          <w:color w:val="0070C0"/>
          <w:rtl/>
          <w:lang w:eastAsia="he-IL"/>
        </w:rPr>
        <w:t xml:space="preserve">: </w:t>
      </w:r>
      <w:r w:rsidRPr="00C71B59">
        <w:rPr>
          <w:rFonts w:cs="David"/>
          <w:b/>
          <w:bCs/>
          <w:color w:val="0070C0"/>
          <w:rtl/>
          <w:lang w:eastAsia="he-IL"/>
        </w:rPr>
        <w:t xml:space="preserve"> </w:t>
      </w:r>
      <w:hyperlink r:id="rId20" w:history="1">
        <w:r w:rsidRPr="00C71B59">
          <w:rPr>
            <w:color w:val="0070C0"/>
          </w:rPr>
          <w:t>info@eretzhemdah.org</w:t>
        </w:r>
      </w:hyperlink>
    </w:p>
    <w:sectPr w:rsidR="003E66A1" w:rsidSect="001E6206">
      <w:headerReference w:type="default" r:id="rId21"/>
      <w:headerReference w:type="first" r:id="rId22"/>
      <w:endnotePr>
        <w:numFmt w:val="decimal"/>
      </w:endnotePr>
      <w:type w:val="continuous"/>
      <w:pgSz w:w="11906" w:h="16838" w:code="9"/>
      <w:pgMar w:top="1134"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7271B4AE" w:rsidR="003056AF" w:rsidRPr="00FA505B" w:rsidRDefault="00E04C76"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 xml:space="preserve">כי </w:t>
    </w:r>
    <w:proofErr w:type="spellStart"/>
    <w:r>
      <w:rPr>
        <w:rFonts w:ascii="Arial Black" w:hAnsi="Arial Black" w:cs="David" w:hint="cs"/>
        <w:b/>
        <w:bCs/>
        <w:iCs/>
        <w:color w:val="993300"/>
        <w:sz w:val="28"/>
        <w:szCs w:val="28"/>
        <w:rtl/>
      </w:rPr>
      <w:t>תשא</w:t>
    </w:r>
    <w:proofErr w:type="spellEnd"/>
    <w:r>
      <w:rPr>
        <w:rFonts w:ascii="Arial Black" w:hAnsi="Arial Black" w:cs="David" w:hint="cs"/>
        <w:b/>
        <w:bCs/>
        <w:iCs/>
        <w:color w:val="993300"/>
        <w:sz w:val="28"/>
        <w:szCs w:val="28"/>
        <w:rtl/>
      </w:rPr>
      <w:t>-פורים</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8"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2"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6"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2"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3"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24"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25"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26"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27"/>
  </w:num>
  <w:num w:numId="2">
    <w:abstractNumId w:val="20"/>
  </w:num>
  <w:num w:numId="3">
    <w:abstractNumId w:val="17"/>
  </w:num>
  <w:num w:numId="4">
    <w:abstractNumId w:val="15"/>
  </w:num>
  <w:num w:numId="5">
    <w:abstractNumId w:val="25"/>
  </w:num>
  <w:num w:numId="6">
    <w:abstractNumId w:val="21"/>
  </w:num>
  <w:num w:numId="7">
    <w:abstractNumId w:val="19"/>
  </w:num>
  <w:num w:numId="8">
    <w:abstractNumId w:val="12"/>
  </w:num>
  <w:num w:numId="9">
    <w:abstractNumId w:val="2"/>
  </w:num>
  <w:num w:numId="10">
    <w:abstractNumId w:val="6"/>
  </w:num>
  <w:num w:numId="11">
    <w:abstractNumId w:val="8"/>
  </w:num>
  <w:num w:numId="12">
    <w:abstractNumId w:val="29"/>
  </w:num>
  <w:num w:numId="13">
    <w:abstractNumId w:val="5"/>
  </w:num>
  <w:num w:numId="14">
    <w:abstractNumId w:val="30"/>
  </w:num>
  <w:num w:numId="15">
    <w:abstractNumId w:val="7"/>
  </w:num>
  <w:num w:numId="16">
    <w:abstractNumId w:val="11"/>
  </w:num>
  <w:num w:numId="17">
    <w:abstractNumId w:val="23"/>
  </w:num>
  <w:num w:numId="18">
    <w:abstractNumId w:val="14"/>
  </w:num>
  <w:num w:numId="19">
    <w:abstractNumId w:val="28"/>
  </w:num>
  <w:num w:numId="20">
    <w:abstractNumId w:val="18"/>
  </w:num>
  <w:num w:numId="21">
    <w:abstractNumId w:val="16"/>
  </w:num>
  <w:num w:numId="22">
    <w:abstractNumId w:val="13"/>
  </w:num>
  <w:num w:numId="23">
    <w:abstractNumId w:val="22"/>
  </w:num>
  <w:num w:numId="24">
    <w:abstractNumId w:val="10"/>
  </w:num>
  <w:num w:numId="25">
    <w:abstractNumId w:val="26"/>
  </w:num>
  <w:num w:numId="26">
    <w:abstractNumId w:val="3"/>
  </w:num>
  <w:num w:numId="27">
    <w:abstractNumId w:val="9"/>
  </w:num>
  <w:num w:numId="28">
    <w:abstractNumId w:val="4"/>
  </w:num>
  <w:num w:numId="29">
    <w:abstractNumId w:val="1"/>
  </w:num>
  <w:num w:numId="30">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604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995"/>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0449"/>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79E9"/>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eretzhemdah.org/ebooks.asp?lang=he&amp;top=1&amp;pageid=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Pages>
  <Words>2427</Words>
  <Characters>11341</Characters>
  <Application>Microsoft Office Word</Application>
  <DocSecurity>0</DocSecurity>
  <Lines>94</Lines>
  <Paragraphs>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11</cp:revision>
  <cp:lastPrinted>2025-01-30T11:17:00Z</cp:lastPrinted>
  <dcterms:created xsi:type="dcterms:W3CDTF">2026-02-26T14:19:00Z</dcterms:created>
  <dcterms:modified xsi:type="dcterms:W3CDTF">2026-03-02T11:08:00Z</dcterms:modified>
</cp:coreProperties>
</file>