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5BCE3FBA">
                  <wp:simplePos x="0" y="0"/>
                  <wp:positionH relativeFrom="column">
                    <wp:posOffset>2548890</wp:posOffset>
                  </wp:positionH>
                  <wp:positionV relativeFrom="paragraph">
                    <wp:posOffset>73660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550E511C"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A80E2A">
              <w:rPr>
                <w:rFonts w:ascii="Arial Black" w:hAnsi="Arial Black" w:cs="David" w:hint="cs"/>
                <w:b/>
                <w:bCs/>
                <w:iCs/>
                <w:color w:val="960000"/>
                <w:sz w:val="56"/>
                <w:szCs w:val="56"/>
                <w:rtl/>
              </w:rPr>
              <w:t xml:space="preserve"> </w:t>
            </w:r>
            <w:r w:rsidR="00102424">
              <w:rPr>
                <w:rFonts w:ascii="Arial Black" w:hAnsi="Arial Black" w:cs="David" w:hint="cs"/>
                <w:b/>
                <w:bCs/>
                <w:iCs/>
                <w:color w:val="960000"/>
                <w:sz w:val="52"/>
                <w:szCs w:val="52"/>
                <w:rtl/>
              </w:rPr>
              <w:t>תזריע-מצורע</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15428A">
        <w:trPr>
          <w:trHeight w:val="570"/>
        </w:trPr>
        <w:tc>
          <w:tcPr>
            <w:tcW w:w="8359" w:type="dxa"/>
            <w:vAlign w:val="center"/>
          </w:tcPr>
          <w:p w14:paraId="7EC25FB9" w14:textId="126EE033" w:rsidR="006038E9" w:rsidRDefault="003A118B" w:rsidP="003A118B">
            <w:pPr>
              <w:contextualSpacing/>
              <w:jc w:val="center"/>
              <w:rPr>
                <w:rFonts w:ascii="FrankRuehl" w:eastAsia="Calibri" w:hAnsi="FrankRuehl" w:cs="FrankRuehl"/>
                <w:b/>
                <w:bCs/>
                <w:color w:val="0070C0"/>
                <w:sz w:val="34"/>
                <w:szCs w:val="34"/>
                <w:rtl/>
              </w:rPr>
            </w:pPr>
            <w:bookmarkStart w:id="1" w:name="_Hlk184807529"/>
            <w:r w:rsidRPr="003A118B">
              <w:rPr>
                <w:rFonts w:ascii="FrankRuehl" w:eastAsia="Calibri" w:hAnsi="FrankRuehl" w:cs="FrankRuehl"/>
                <w:b/>
                <w:bCs/>
                <w:color w:val="0070C0"/>
                <w:sz w:val="34"/>
                <w:szCs w:val="34"/>
                <w:rtl/>
              </w:rPr>
              <w:t xml:space="preserve">שִׁיר הַשִּׁירִים קֹדֶשׁ קָדָשִׁים </w:t>
            </w:r>
            <w:r w:rsidRPr="003A118B">
              <w:rPr>
                <w:rFonts w:ascii="FrankRuehl" w:eastAsia="Calibri" w:hAnsi="FrankRuehl" w:cs="FrankRuehl" w:hint="cs"/>
                <w:b/>
                <w:bCs/>
                <w:color w:val="0070C0"/>
                <w:sz w:val="34"/>
                <w:szCs w:val="34"/>
                <w:rtl/>
              </w:rPr>
              <w:t xml:space="preserve">ומשפחה </w:t>
            </w:r>
            <w:r w:rsidRPr="003A118B" w:rsidDel="00D965C1">
              <w:rPr>
                <w:rFonts w:ascii="FrankRuehl" w:eastAsia="Calibri" w:hAnsi="FrankRuehl" w:cs="FrankRuehl" w:hint="cs"/>
                <w:b/>
                <w:bCs/>
                <w:color w:val="0070C0"/>
                <w:sz w:val="34"/>
                <w:szCs w:val="34"/>
                <w:rtl/>
              </w:rPr>
              <w:t>קדש קדשים</w:t>
            </w:r>
            <w:r>
              <w:rPr>
                <w:rFonts w:ascii="FrankRuehl" w:eastAsia="Calibri" w:hAnsi="FrankRuehl" w:cs="FrankRuehl" w:hint="cs"/>
                <w:b/>
                <w:bCs/>
                <w:color w:val="0070C0"/>
                <w:sz w:val="34"/>
                <w:szCs w:val="34"/>
                <w:rtl/>
              </w:rPr>
              <w:t xml:space="preserve"> </w:t>
            </w:r>
            <w:r w:rsidRPr="003A118B">
              <w:rPr>
                <w:rFonts w:ascii="David" w:eastAsia="Calibri" w:hAnsi="David" w:cs="David"/>
                <w:color w:val="0070C0"/>
                <w:kern w:val="2"/>
                <w:sz w:val="20"/>
                <w:szCs w:val="20"/>
                <w:rtl/>
                <w14:ligatures w14:val="standardContextual"/>
              </w:rPr>
              <w:t>(משנה ידים פ"ג מ"ה, בשם רבי עקיבא)</w:t>
            </w:r>
          </w:p>
          <w:p w14:paraId="0C145E42" w14:textId="5E27E0EB" w:rsidR="003A118B" w:rsidRPr="003A118B" w:rsidRDefault="003A118B" w:rsidP="003A118B">
            <w:pPr>
              <w:contextualSpacing/>
              <w:jc w:val="center"/>
              <w:rPr>
                <w:rFonts w:ascii="FrankRuehl" w:eastAsia="Calibri" w:hAnsi="FrankRuehl" w:cs="FrankRuehl"/>
                <w:b/>
                <w:bCs/>
                <w:color w:val="0070C0"/>
                <w:sz w:val="6"/>
                <w:szCs w:val="6"/>
                <w:rtl/>
              </w:rPr>
            </w:pPr>
            <w:r>
              <w:rPr>
                <w:rFonts w:ascii="FrankRuehl" w:eastAsia="Calibri" w:hAnsi="FrankRuehl" w:cs="FrankRuehl" w:hint="cs"/>
                <w:b/>
                <w:bCs/>
                <w:color w:val="0070C0"/>
                <w:sz w:val="6"/>
                <w:szCs w:val="6"/>
                <w:rtl/>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30A566" w14:textId="12466C01" w:rsidR="00313B91" w:rsidRPr="00197C20" w:rsidRDefault="00E8510C" w:rsidP="00197C20">
            <w:pPr>
              <w:contextualSpacing/>
              <w:jc w:val="center"/>
              <w:rPr>
                <w:rFonts w:cs="David"/>
                <w:noProof/>
                <w:color w:val="0070C0"/>
                <w:sz w:val="26"/>
                <w:szCs w:val="26"/>
                <w:rtl/>
              </w:rPr>
            </w:pPr>
            <w:r w:rsidRPr="00197C20">
              <w:rPr>
                <w:rFonts w:ascii="Arial" w:hAnsi="Arial" w:cs="David"/>
                <w:b/>
                <w:bCs/>
                <w:color w:val="0070C0"/>
                <w:sz w:val="26"/>
                <w:szCs w:val="26"/>
                <w:rtl/>
              </w:rPr>
              <w:t>הרב יוסף כרמל</w:t>
            </w:r>
            <w:r w:rsidRPr="00197C20">
              <w:rPr>
                <w:rFonts w:cs="David"/>
                <w:b/>
                <w:bCs/>
                <w:color w:val="0070C0"/>
                <w:sz w:val="26"/>
                <w:szCs w:val="26"/>
                <w:rtl/>
              </w:rPr>
              <w:t>, ראש</w:t>
            </w:r>
            <w:r w:rsidRPr="00197C20">
              <w:rPr>
                <w:rFonts w:ascii="Arial" w:hAnsi="Arial" w:cs="David"/>
                <w:b/>
                <w:bCs/>
                <w:color w:val="0070C0"/>
                <w:sz w:val="26"/>
                <w:szCs w:val="26"/>
                <w:rtl/>
              </w:rPr>
              <w:t xml:space="preserve"> כולל 'ארץ חמדה'</w:t>
            </w:r>
            <w:bookmarkEnd w:id="1"/>
          </w:p>
        </w:tc>
        <w:tc>
          <w:tcPr>
            <w:tcW w:w="2833"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77777777" w:rsidR="00512DD9" w:rsidRPr="006E4CFA" w:rsidRDefault="00512DD9" w:rsidP="00C110AA">
            <w:pPr>
              <w:shd w:val="clear" w:color="auto" w:fill="FFFFFF"/>
              <w:rPr>
                <w:rFonts w:ascii="David" w:hAnsi="David" w:cs="David"/>
                <w:sz w:val="8"/>
                <w:szCs w:val="8"/>
              </w:rPr>
            </w:pPr>
            <w:bookmarkStart w:id="2" w:name="_Hlk213923647"/>
          </w:p>
          <w:p w14:paraId="601F4B85" w14:textId="77777777" w:rsidR="003A118B" w:rsidRPr="003A118B" w:rsidRDefault="003A118B" w:rsidP="003A118B">
            <w:pPr>
              <w:contextualSpacing/>
              <w:rPr>
                <w:rFonts w:ascii="David" w:eastAsia="Calibri" w:hAnsi="David" w:cs="David"/>
                <w:kern w:val="2"/>
                <w:sz w:val="22"/>
                <w:szCs w:val="22"/>
                <w14:ligatures w14:val="standardContextual"/>
              </w:rPr>
            </w:pPr>
            <w:r w:rsidRPr="003A118B">
              <w:rPr>
                <w:rFonts w:ascii="David" w:eastAsia="Calibri" w:hAnsi="David" w:cs="David" w:hint="cs"/>
                <w:kern w:val="2"/>
                <w:sz w:val="22"/>
                <w:szCs w:val="22"/>
                <w:rtl/>
                <w14:ligatures w14:val="standardContextual"/>
              </w:rPr>
              <w:t xml:space="preserve">פרשת שמיני עוסקת בקודש: חנוכת המשכן והשכנת שכינה. לעומת זאת </w:t>
            </w:r>
            <w:r w:rsidRPr="003A118B">
              <w:rPr>
                <w:rFonts w:ascii="David" w:eastAsia="Calibri" w:hAnsi="David" w:cs="David" w:hint="eastAsia"/>
                <w:kern w:val="2"/>
                <w:sz w:val="22"/>
                <w:szCs w:val="22"/>
                <w:rtl/>
                <w14:ligatures w14:val="standardContextual"/>
              </w:rPr>
              <w:t>פרשתנו</w:t>
            </w:r>
            <w:r w:rsidRPr="003A118B">
              <w:rPr>
                <w:rFonts w:ascii="David" w:eastAsia="Calibri" w:hAnsi="David" w:cs="David" w:hint="cs"/>
                <w:kern w:val="2"/>
                <w:sz w:val="22"/>
                <w:szCs w:val="22"/>
                <w:rtl/>
                <w14:ligatures w14:val="standardContextual"/>
              </w:rPr>
              <w:t xml:space="preserve"> פותחת בתחום חיי משפחה, ברית מילה וטומאת הנידה.</w:t>
            </w:r>
          </w:p>
          <w:p w14:paraId="2BA1189E" w14:textId="77777777" w:rsidR="003A118B" w:rsidRPr="003A118B" w:rsidRDefault="003A118B" w:rsidP="003A118B">
            <w:pPr>
              <w:ind w:left="283"/>
              <w:contextualSpacing/>
              <w:rPr>
                <w:rFonts w:ascii="David" w:eastAsia="Calibri" w:hAnsi="David" w:cs="David"/>
                <w:kern w:val="2"/>
                <w:sz w:val="22"/>
                <w:szCs w:val="22"/>
                <w:rtl/>
                <w14:ligatures w14:val="standardContextual"/>
              </w:rPr>
            </w:pPr>
            <w:r w:rsidRPr="003A118B">
              <w:rPr>
                <w:rFonts w:ascii="David" w:eastAsia="Calibri" w:hAnsi="David" w:cs="David"/>
                <w:kern w:val="2"/>
                <w:sz w:val="22"/>
                <w:szCs w:val="22"/>
                <w:rtl/>
                <w14:ligatures w14:val="standardContextual"/>
              </w:rPr>
              <w:t>"</w:t>
            </w:r>
            <w:r w:rsidRPr="003A118B">
              <w:rPr>
                <w:rFonts w:ascii="FrankRuehl" w:eastAsia="Calibri" w:hAnsi="FrankRuehl" w:cs="FrankRuehl"/>
                <w:kern w:val="2"/>
                <w:rtl/>
                <w14:ligatures w14:val="standardContextual"/>
              </w:rPr>
              <w:t xml:space="preserve">וַיְדַבֵּר </w:t>
            </w:r>
            <w:proofErr w:type="spellStart"/>
            <w:r w:rsidRPr="003A118B">
              <w:rPr>
                <w:rFonts w:ascii="FrankRuehl" w:eastAsia="Calibri" w:hAnsi="FrankRuehl" w:cs="FrankRuehl"/>
                <w:kern w:val="2"/>
                <w:rtl/>
                <w14:ligatures w14:val="standardContextual"/>
              </w:rPr>
              <w:t>יְקֹוָק</w:t>
            </w:r>
            <w:proofErr w:type="spellEnd"/>
            <w:r w:rsidRPr="003A118B">
              <w:rPr>
                <w:rFonts w:ascii="FrankRuehl" w:eastAsia="Calibri" w:hAnsi="FrankRuehl" w:cs="FrankRuehl"/>
                <w:kern w:val="2"/>
                <w:rtl/>
                <w14:ligatures w14:val="standardContextual"/>
              </w:rPr>
              <w:t xml:space="preserve"> אֶל מֹשֶׁה </w:t>
            </w:r>
            <w:proofErr w:type="spellStart"/>
            <w:r w:rsidRPr="003A118B">
              <w:rPr>
                <w:rFonts w:ascii="FrankRuehl" w:eastAsia="Calibri" w:hAnsi="FrankRuehl" w:cs="FrankRuehl"/>
                <w:kern w:val="2"/>
                <w:rtl/>
                <w14:ligatures w14:val="standardContextual"/>
              </w:rPr>
              <w:t>לֵּאמֹר</w:t>
            </w:r>
            <w:proofErr w:type="spellEnd"/>
            <w:r w:rsidRPr="003A118B">
              <w:rPr>
                <w:rFonts w:ascii="FrankRuehl" w:eastAsia="Calibri" w:hAnsi="FrankRuehl" w:cs="FrankRuehl"/>
                <w:kern w:val="2"/>
                <w:rtl/>
                <w14:ligatures w14:val="standardContextual"/>
              </w:rPr>
              <w:t xml:space="preserve">: דַּבֵּר אֶל בְּנֵי יִשְׂרָאֵל </w:t>
            </w:r>
            <w:proofErr w:type="spellStart"/>
            <w:r w:rsidRPr="003A118B">
              <w:rPr>
                <w:rFonts w:ascii="FrankRuehl" w:eastAsia="Calibri" w:hAnsi="FrankRuehl" w:cs="FrankRuehl"/>
                <w:kern w:val="2"/>
                <w:rtl/>
                <w14:ligatures w14:val="standardContextual"/>
              </w:rPr>
              <w:t>לֵאמֹר</w:t>
            </w:r>
            <w:proofErr w:type="spellEnd"/>
            <w:r w:rsidRPr="003A118B">
              <w:rPr>
                <w:rFonts w:ascii="FrankRuehl" w:eastAsia="Calibri" w:hAnsi="FrankRuehl" w:cs="FrankRuehl"/>
                <w:kern w:val="2"/>
                <w:rtl/>
                <w14:ligatures w14:val="standardContextual"/>
              </w:rPr>
              <w:t xml:space="preserve"> </w:t>
            </w:r>
            <w:proofErr w:type="spellStart"/>
            <w:r w:rsidRPr="003A118B">
              <w:rPr>
                <w:rFonts w:ascii="FrankRuehl" w:eastAsia="Calibri" w:hAnsi="FrankRuehl" w:cs="FrankRuehl"/>
                <w:kern w:val="2"/>
                <w:rtl/>
                <w14:ligatures w14:val="standardContextual"/>
              </w:rPr>
              <w:t>אִשָּׁה</w:t>
            </w:r>
            <w:proofErr w:type="spellEnd"/>
            <w:r w:rsidRPr="003A118B">
              <w:rPr>
                <w:rFonts w:ascii="FrankRuehl" w:eastAsia="Calibri" w:hAnsi="FrankRuehl" w:cs="FrankRuehl"/>
                <w:kern w:val="2"/>
                <w:rtl/>
                <w14:ligatures w14:val="standardContextual"/>
              </w:rPr>
              <w:t xml:space="preserve"> כִּי תַזְרִיעַ וְיָלְדָה זָכָר וְטָמְאָה שִׁבְעַת יָמִים כִּימֵי נִדַּת דְּוֹתָהּ תִּטְמָא:  וּבַיּוֹם הַשְּׁמִינִי יִמּוֹל בְּשַׂר </w:t>
            </w:r>
            <w:proofErr w:type="spellStart"/>
            <w:r w:rsidRPr="003A118B">
              <w:rPr>
                <w:rFonts w:ascii="FrankRuehl" w:eastAsia="Calibri" w:hAnsi="FrankRuehl" w:cs="FrankRuehl"/>
                <w:kern w:val="2"/>
                <w:rtl/>
                <w14:ligatures w14:val="standardContextual"/>
              </w:rPr>
              <w:t>עָרְלָתו</w:t>
            </w:r>
            <w:proofErr w:type="spellEnd"/>
            <w:r w:rsidRPr="003A118B">
              <w:rPr>
                <w:rFonts w:ascii="FrankRuehl" w:eastAsia="Calibri" w:hAnsi="FrankRuehl" w:cs="FrankRuehl"/>
                <w:kern w:val="2"/>
                <w:rtl/>
                <w14:ligatures w14:val="standardContextual"/>
              </w:rPr>
              <w:t xml:space="preserve">ֹ: וּשְׁלֹשִׁים יוֹם וּשְׁלֹשֶׁת יָמִים תֵּשֵׁב בִּדְמֵי טָהֳרָה בְּכָל קֹדֶשׁ לֹא </w:t>
            </w:r>
            <w:proofErr w:type="spellStart"/>
            <w:r w:rsidRPr="003A118B">
              <w:rPr>
                <w:rFonts w:ascii="FrankRuehl" w:eastAsia="Calibri" w:hAnsi="FrankRuehl" w:cs="FrankRuehl"/>
                <w:kern w:val="2"/>
                <w:rtl/>
                <w14:ligatures w14:val="standardContextual"/>
              </w:rPr>
              <w:t>תִגָּע</w:t>
            </w:r>
            <w:proofErr w:type="spellEnd"/>
            <w:r w:rsidRPr="003A118B">
              <w:rPr>
                <w:rFonts w:ascii="FrankRuehl" w:eastAsia="Calibri" w:hAnsi="FrankRuehl" w:cs="FrankRuehl"/>
                <w:kern w:val="2"/>
                <w:rtl/>
                <w14:ligatures w14:val="standardContextual"/>
              </w:rPr>
              <w:t xml:space="preserve"> וְאֶל הַמִּקְדָּשׁ לֹא </w:t>
            </w:r>
            <w:proofErr w:type="spellStart"/>
            <w:r w:rsidRPr="003A118B">
              <w:rPr>
                <w:rFonts w:ascii="FrankRuehl" w:eastAsia="Calibri" w:hAnsi="FrankRuehl" w:cs="FrankRuehl"/>
                <w:kern w:val="2"/>
                <w:rtl/>
                <w14:ligatures w14:val="standardContextual"/>
              </w:rPr>
              <w:t>תָבֹא</w:t>
            </w:r>
            <w:proofErr w:type="spellEnd"/>
            <w:r w:rsidRPr="003A118B">
              <w:rPr>
                <w:rFonts w:ascii="FrankRuehl" w:eastAsia="Calibri" w:hAnsi="FrankRuehl" w:cs="FrankRuehl"/>
                <w:kern w:val="2"/>
                <w:rtl/>
                <w14:ligatures w14:val="standardContextual"/>
              </w:rPr>
              <w:t xml:space="preserve"> עַד מְלֹאת יְמֵי טָהֳרָהּ: וְאִם נְקֵבָה תֵלֵד וְטָמְאָה שְׁבֻעַיִם </w:t>
            </w:r>
            <w:proofErr w:type="spellStart"/>
            <w:r w:rsidRPr="003A118B">
              <w:rPr>
                <w:rFonts w:ascii="FrankRuehl" w:eastAsia="Calibri" w:hAnsi="FrankRuehl" w:cs="FrankRuehl"/>
                <w:kern w:val="2"/>
                <w:rtl/>
                <w14:ligatures w14:val="standardContextual"/>
              </w:rPr>
              <w:t>כְּנִדָּתָה</w:t>
            </w:r>
            <w:proofErr w:type="spellEnd"/>
            <w:r w:rsidRPr="003A118B">
              <w:rPr>
                <w:rFonts w:ascii="FrankRuehl" w:eastAsia="Calibri" w:hAnsi="FrankRuehl" w:cs="FrankRuehl"/>
                <w:kern w:val="2"/>
                <w:rtl/>
                <w14:ligatures w14:val="standardContextual"/>
              </w:rPr>
              <w:t>ּ וְשִׁשִּׁים יוֹם וְשֵׁשֶׁת יָמִים תֵּשֵׁב עַל דְּמֵי טָהֳרָה</w:t>
            </w:r>
            <w:r w:rsidRPr="003A118B">
              <w:rPr>
                <w:rFonts w:ascii="David" w:eastAsia="Calibri" w:hAnsi="David" w:cs="David"/>
                <w:kern w:val="2"/>
                <w:sz w:val="22"/>
                <w:szCs w:val="22"/>
                <w:rtl/>
                <w14:ligatures w14:val="standardContextual"/>
              </w:rPr>
              <w:t>" (ויקרא י"ב א-ה).</w:t>
            </w:r>
          </w:p>
          <w:p w14:paraId="5E3A1D12" w14:textId="77777777" w:rsidR="003A118B" w:rsidRPr="003A118B" w:rsidRDefault="003A118B" w:rsidP="003A118B">
            <w:pPr>
              <w:contextualSpacing/>
              <w:rPr>
                <w:rFonts w:ascii="David" w:eastAsia="Calibri" w:hAnsi="David" w:cs="David"/>
                <w:kern w:val="2"/>
                <w:sz w:val="22"/>
                <w:szCs w:val="22"/>
                <w:rtl/>
                <w14:ligatures w14:val="standardContextual"/>
              </w:rPr>
            </w:pPr>
            <w:r w:rsidRPr="003A118B">
              <w:rPr>
                <w:rFonts w:ascii="David" w:eastAsia="Calibri" w:hAnsi="David" w:cs="David" w:hint="cs"/>
                <w:kern w:val="2"/>
                <w:sz w:val="22"/>
                <w:szCs w:val="22"/>
                <w:rtl/>
                <w14:ligatures w14:val="standardContextual"/>
              </w:rPr>
              <w:t>במבט ראשון שני קצוות של חיים יהודיים. הראשון, הקמת מרכז רוחני המחבר שמים וארץ - פעולה נעלה ומרוממת, והשני קשור לחיים ארציים, גשמיים שאין להם קשר לרוחניות. הרושם הראשוני נוגע לנידות, טומאה והרחקה מן הקודש "</w:t>
            </w:r>
            <w:proofErr w:type="spellStart"/>
            <w:r w:rsidRPr="003A118B">
              <w:rPr>
                <w:rFonts w:ascii="FrankRuehl" w:eastAsia="Calibri" w:hAnsi="FrankRuehl" w:cs="FrankRuehl"/>
                <w:kern w:val="2"/>
                <w:rtl/>
                <w14:ligatures w14:val="standardContextual"/>
              </w:rPr>
              <w:t>אִשָּׁה</w:t>
            </w:r>
            <w:proofErr w:type="spellEnd"/>
            <w:r w:rsidRPr="003A118B">
              <w:rPr>
                <w:rFonts w:ascii="FrankRuehl" w:eastAsia="Calibri" w:hAnsi="FrankRuehl" w:cs="FrankRuehl"/>
                <w:kern w:val="2"/>
                <w:rtl/>
                <w14:ligatures w14:val="standardContextual"/>
              </w:rPr>
              <w:t xml:space="preserve"> כִּי תַזְרִיעַ וְיָלְדָה ... וְטָמְאָה שִׁבְעַת יָמִים כִּימֵי נִדַּת דְּוֹתָהּ תִּטְמָא:  ... בְּכָל קֹדֶשׁ לֹא </w:t>
            </w:r>
            <w:proofErr w:type="spellStart"/>
            <w:r w:rsidRPr="003A118B">
              <w:rPr>
                <w:rFonts w:ascii="FrankRuehl" w:eastAsia="Calibri" w:hAnsi="FrankRuehl" w:cs="FrankRuehl"/>
                <w:kern w:val="2"/>
                <w:rtl/>
                <w14:ligatures w14:val="standardContextual"/>
              </w:rPr>
              <w:t>תִגָּע</w:t>
            </w:r>
            <w:proofErr w:type="spellEnd"/>
            <w:r w:rsidRPr="003A118B">
              <w:rPr>
                <w:rFonts w:ascii="FrankRuehl" w:eastAsia="Calibri" w:hAnsi="FrankRuehl" w:cs="FrankRuehl"/>
                <w:kern w:val="2"/>
                <w:rtl/>
                <w14:ligatures w14:val="standardContextual"/>
              </w:rPr>
              <w:t xml:space="preserve"> וְאֶל הַמִּקְדָּשׁ לֹא </w:t>
            </w:r>
            <w:proofErr w:type="spellStart"/>
            <w:r w:rsidRPr="003A118B">
              <w:rPr>
                <w:rFonts w:ascii="FrankRuehl" w:eastAsia="Calibri" w:hAnsi="FrankRuehl" w:cs="FrankRuehl"/>
                <w:kern w:val="2"/>
                <w:rtl/>
                <w14:ligatures w14:val="standardContextual"/>
              </w:rPr>
              <w:t>תָבֹא</w:t>
            </w:r>
            <w:proofErr w:type="spellEnd"/>
            <w:r w:rsidRPr="003A118B">
              <w:rPr>
                <w:rFonts w:ascii="David" w:eastAsia="Calibri" w:hAnsi="David" w:cs="David" w:hint="cs"/>
                <w:kern w:val="2"/>
                <w:sz w:val="22"/>
                <w:szCs w:val="22"/>
                <w:rtl/>
                <w14:ligatures w14:val="standardContextual"/>
              </w:rPr>
              <w:t xml:space="preserve">". </w:t>
            </w:r>
          </w:p>
          <w:p w14:paraId="767A13CD" w14:textId="77777777" w:rsidR="003A118B" w:rsidRPr="003A118B" w:rsidRDefault="003A118B" w:rsidP="003A118B">
            <w:pPr>
              <w:contextualSpacing/>
              <w:rPr>
                <w:rFonts w:ascii="David" w:eastAsia="Calibri" w:hAnsi="David" w:cs="David"/>
                <w:kern w:val="2"/>
                <w:sz w:val="22"/>
                <w:szCs w:val="22"/>
                <w:rtl/>
                <w14:ligatures w14:val="standardContextual"/>
              </w:rPr>
            </w:pPr>
            <w:r w:rsidRPr="003A118B">
              <w:rPr>
                <w:rFonts w:ascii="David" w:eastAsia="Calibri" w:hAnsi="David" w:cs="David" w:hint="cs"/>
                <w:kern w:val="2"/>
                <w:sz w:val="22"/>
                <w:szCs w:val="22"/>
                <w:rtl/>
                <w14:ligatures w14:val="standardContextual"/>
              </w:rPr>
              <w:t>פתיחת פרשת תזריע מתוך הבנה מוטעי</w:t>
            </w:r>
            <w:r w:rsidRPr="003A118B">
              <w:rPr>
                <w:rFonts w:ascii="David" w:eastAsia="Calibri" w:hAnsi="David" w:cs="David" w:hint="eastAsia"/>
                <w:kern w:val="2"/>
                <w:sz w:val="22"/>
                <w:szCs w:val="22"/>
                <w:rtl/>
                <w14:ligatures w14:val="standardContextual"/>
              </w:rPr>
              <w:t>ת</w:t>
            </w:r>
            <w:r w:rsidRPr="003A118B">
              <w:rPr>
                <w:rFonts w:ascii="David" w:eastAsia="Calibri" w:hAnsi="David" w:cs="David" w:hint="cs"/>
                <w:kern w:val="2"/>
                <w:sz w:val="22"/>
                <w:szCs w:val="22"/>
                <w:rtl/>
                <w14:ligatures w14:val="standardContextual"/>
              </w:rPr>
              <w:t xml:space="preserve"> שכזו עלולה, ח"ו, לפגוע במעמדה של האישה, בצד הנעלה של החיים היהודיים ובעבודת השם. השקפה זו חדרה לצערנו גם לתוך עולם ההלכה וגרמה </w:t>
            </w:r>
            <w:r w:rsidRPr="003A118B">
              <w:rPr>
                <w:rFonts w:ascii="David" w:eastAsia="Calibri" w:hAnsi="David" w:cs="David"/>
                <w:kern w:val="2"/>
                <w:sz w:val="22"/>
                <w:szCs w:val="22"/>
                <w:rtl/>
                <w14:ligatures w14:val="standardContextual"/>
              </w:rPr>
              <w:t xml:space="preserve">להשתרשות </w:t>
            </w:r>
            <w:r w:rsidRPr="003A118B">
              <w:rPr>
                <w:rFonts w:ascii="David" w:eastAsia="Calibri" w:hAnsi="David" w:cs="David" w:hint="cs"/>
                <w:kern w:val="2"/>
                <w:sz w:val="22"/>
                <w:szCs w:val="22"/>
                <w:rtl/>
                <w14:ligatures w14:val="standardContextual"/>
              </w:rPr>
              <w:t xml:space="preserve">של </w:t>
            </w:r>
            <w:r w:rsidRPr="003A118B">
              <w:rPr>
                <w:rFonts w:ascii="David" w:eastAsia="Calibri" w:hAnsi="David" w:cs="David"/>
                <w:kern w:val="2"/>
                <w:sz w:val="22"/>
                <w:szCs w:val="22"/>
                <w:rtl/>
                <w14:ligatures w14:val="standardContextual"/>
              </w:rPr>
              <w:t>מנהגים משובשים, בחלק מקהילות ישראל, שמקורם כנראה בהשפעה קראית. מנהגים אלה גרמו לטעויות הלכתיות והרחיקו נשים, בחלקים נכבדים של חייהן, מבית הכנסת ומקשר לתורה</w:t>
            </w:r>
            <w:r w:rsidRPr="003A118B">
              <w:rPr>
                <w:rFonts w:ascii="David" w:eastAsia="Calibri" w:hAnsi="David" w:cs="David" w:hint="cs"/>
                <w:kern w:val="2"/>
                <w:sz w:val="22"/>
                <w:szCs w:val="22"/>
                <w:rtl/>
                <w14:ligatures w14:val="standardContextual"/>
              </w:rPr>
              <w:t xml:space="preserve">. </w:t>
            </w:r>
            <w:r w:rsidRPr="003A118B">
              <w:rPr>
                <w:rFonts w:ascii="David" w:eastAsia="Calibri" w:hAnsi="David" w:cs="David"/>
                <w:kern w:val="2"/>
                <w:sz w:val="22"/>
                <w:szCs w:val="22"/>
                <w:rtl/>
                <w14:ligatures w14:val="standardContextual"/>
              </w:rPr>
              <w:t xml:space="preserve">עיינו </w:t>
            </w:r>
            <w:r w:rsidRPr="003A118B">
              <w:rPr>
                <w:rFonts w:ascii="David" w:eastAsia="Calibri" w:hAnsi="David" w:cs="David" w:hint="cs"/>
                <w:kern w:val="2"/>
                <w:sz w:val="22"/>
                <w:szCs w:val="22"/>
                <w:rtl/>
                <w14:ligatures w14:val="standardContextual"/>
              </w:rPr>
              <w:t>ל</w:t>
            </w:r>
            <w:r w:rsidRPr="003A118B">
              <w:rPr>
                <w:rFonts w:ascii="David" w:eastAsia="Calibri" w:hAnsi="David" w:cs="David"/>
                <w:kern w:val="2"/>
                <w:sz w:val="22"/>
                <w:szCs w:val="22"/>
                <w:rtl/>
                <w14:ligatures w14:val="standardContextual"/>
              </w:rPr>
              <w:t xml:space="preserve">דוגמא: </w:t>
            </w:r>
            <w:r w:rsidRPr="003A118B">
              <w:rPr>
                <w:rFonts w:ascii="David" w:eastAsia="Calibri" w:hAnsi="David" w:cs="David" w:hint="cs"/>
                <w:kern w:val="2"/>
                <w:sz w:val="22"/>
                <w:szCs w:val="22"/>
                <w:rtl/>
                <w14:ligatures w14:val="standardContextual"/>
              </w:rPr>
              <w:t>בביקורתו הקשה של ה</w:t>
            </w:r>
            <w:r w:rsidRPr="003A118B">
              <w:rPr>
                <w:rFonts w:ascii="David" w:eastAsia="Calibri" w:hAnsi="David" w:cs="David"/>
                <w:kern w:val="2"/>
                <w:sz w:val="22"/>
                <w:szCs w:val="22"/>
                <w:rtl/>
                <w14:ligatures w14:val="standardContextual"/>
              </w:rPr>
              <w:t xml:space="preserve">רמב"ם </w:t>
            </w:r>
            <w:r w:rsidRPr="003A118B">
              <w:rPr>
                <w:rFonts w:ascii="David" w:eastAsia="Calibri" w:hAnsi="David" w:cs="David" w:hint="cs"/>
                <w:kern w:val="2"/>
                <w:sz w:val="22"/>
                <w:szCs w:val="22"/>
                <w:rtl/>
                <w14:ligatures w14:val="standardContextual"/>
              </w:rPr>
              <w:t>(</w:t>
            </w:r>
            <w:proofErr w:type="spellStart"/>
            <w:r w:rsidRPr="003A118B">
              <w:rPr>
                <w:rFonts w:ascii="David" w:eastAsia="Calibri" w:hAnsi="David" w:cs="David"/>
                <w:kern w:val="2"/>
                <w:sz w:val="22"/>
                <w:szCs w:val="22"/>
                <w:rtl/>
                <w14:ligatures w14:val="standardContextual"/>
              </w:rPr>
              <w:t>פי"א</w:t>
            </w:r>
            <w:proofErr w:type="spellEnd"/>
            <w:r w:rsidRPr="003A118B">
              <w:rPr>
                <w:rFonts w:ascii="David" w:eastAsia="Calibri" w:hAnsi="David" w:cs="David"/>
                <w:kern w:val="2"/>
                <w:sz w:val="22"/>
                <w:szCs w:val="22"/>
                <w:rtl/>
                <w14:ligatures w14:val="standardContextual"/>
              </w:rPr>
              <w:t xml:space="preserve"> מהל' איסורי ביאה ה</w:t>
            </w:r>
            <w:r w:rsidRPr="003A118B">
              <w:rPr>
                <w:rFonts w:ascii="David" w:eastAsia="Calibri" w:hAnsi="David" w:cs="David" w:hint="cs"/>
                <w:kern w:val="2"/>
                <w:sz w:val="22"/>
                <w:szCs w:val="22"/>
                <w:rtl/>
                <w14:ligatures w14:val="standardContextual"/>
              </w:rPr>
              <w:t xml:space="preserve"> </w:t>
            </w:r>
            <w:r w:rsidRPr="003A118B">
              <w:rPr>
                <w:rFonts w:ascii="David" w:eastAsia="Calibri" w:hAnsi="David" w:cs="David"/>
                <w:kern w:val="2"/>
                <w:sz w:val="22"/>
                <w:szCs w:val="22"/>
                <w:rtl/>
                <w14:ligatures w14:val="standardContextual"/>
              </w:rPr>
              <w:t>ט"ו</w:t>
            </w:r>
            <w:r w:rsidRPr="003A118B">
              <w:rPr>
                <w:rFonts w:ascii="David" w:eastAsia="Calibri" w:hAnsi="David" w:cs="David" w:hint="cs"/>
                <w:kern w:val="2"/>
                <w:sz w:val="22"/>
                <w:szCs w:val="22"/>
                <w:rtl/>
                <w14:ligatures w14:val="standardContextual"/>
              </w:rPr>
              <w:t>)</w:t>
            </w:r>
            <w:r w:rsidRPr="003A118B">
              <w:rPr>
                <w:rFonts w:ascii="David" w:eastAsia="Calibri" w:hAnsi="David" w:cs="David"/>
                <w:kern w:val="2"/>
                <w:sz w:val="22"/>
                <w:szCs w:val="22"/>
                <w:rtl/>
                <w14:ligatures w14:val="standardContextual"/>
              </w:rPr>
              <w:t xml:space="preserve"> ובדבריו החריפים של הראשון לציון </w:t>
            </w:r>
            <w:proofErr w:type="spellStart"/>
            <w:r w:rsidRPr="003A118B">
              <w:rPr>
                <w:rFonts w:ascii="David" w:eastAsia="Calibri" w:hAnsi="David" w:cs="David"/>
                <w:kern w:val="2"/>
                <w:sz w:val="22"/>
                <w:szCs w:val="22"/>
                <w:rtl/>
                <w14:ligatures w14:val="standardContextual"/>
              </w:rPr>
              <w:t>הגר"ע</w:t>
            </w:r>
            <w:proofErr w:type="spellEnd"/>
            <w:r w:rsidRPr="003A118B">
              <w:rPr>
                <w:rFonts w:ascii="David" w:eastAsia="Calibri" w:hAnsi="David" w:cs="David"/>
                <w:kern w:val="2"/>
                <w:sz w:val="22"/>
                <w:szCs w:val="22"/>
                <w:rtl/>
                <w14:ligatures w14:val="standardContextual"/>
              </w:rPr>
              <w:t xml:space="preserve"> יוסף</w:t>
            </w:r>
            <w:r w:rsidRPr="003A118B">
              <w:rPr>
                <w:rFonts w:ascii="David" w:eastAsia="Calibri" w:hAnsi="David" w:cs="David" w:hint="cs"/>
                <w:kern w:val="2"/>
                <w:sz w:val="22"/>
                <w:szCs w:val="22"/>
                <w:rtl/>
                <w14:ligatures w14:val="standardContextual"/>
              </w:rPr>
              <w:t xml:space="preserve"> כנגד מנהגים אלה</w:t>
            </w:r>
            <w:r w:rsidRPr="003A118B">
              <w:rPr>
                <w:rFonts w:ascii="David" w:eastAsia="Calibri" w:hAnsi="David" w:cs="David"/>
                <w:kern w:val="2"/>
                <w:sz w:val="22"/>
                <w:szCs w:val="22"/>
                <w:rtl/>
                <w14:ligatures w14:val="standardContextual"/>
              </w:rPr>
              <w:t xml:space="preserve"> </w:t>
            </w:r>
            <w:r w:rsidRPr="003A118B">
              <w:rPr>
                <w:rFonts w:ascii="David" w:eastAsia="Calibri" w:hAnsi="David" w:cs="David" w:hint="cs"/>
                <w:kern w:val="2"/>
                <w:sz w:val="22"/>
                <w:szCs w:val="22"/>
                <w:rtl/>
                <w14:ligatures w14:val="standardContextual"/>
              </w:rPr>
              <w:t>(</w:t>
            </w:r>
            <w:r w:rsidRPr="003A118B">
              <w:rPr>
                <w:rFonts w:ascii="David" w:eastAsia="Calibri" w:hAnsi="David" w:cs="David"/>
                <w:kern w:val="2"/>
                <w:sz w:val="22"/>
                <w:szCs w:val="22"/>
                <w:rtl/>
                <w14:ligatures w14:val="standardContextual"/>
              </w:rPr>
              <w:t>שו"ת "יביע אומר" חלק ד - יו"ד סימן יא ד"ה</w:t>
            </w:r>
            <w:r w:rsidRPr="003A118B">
              <w:rPr>
                <w:rFonts w:ascii="David" w:eastAsia="Calibri" w:hAnsi="David" w:cs="David" w:hint="cs"/>
                <w:kern w:val="2"/>
                <w:sz w:val="22"/>
                <w:szCs w:val="22"/>
                <w:rtl/>
                <w14:ligatures w14:val="standardContextual"/>
              </w:rPr>
              <w:t>:</w:t>
            </w:r>
            <w:r w:rsidRPr="003A118B">
              <w:rPr>
                <w:rFonts w:ascii="David" w:eastAsia="Calibri" w:hAnsi="David" w:cs="David"/>
                <w:kern w:val="2"/>
                <w:sz w:val="22"/>
                <w:szCs w:val="22"/>
                <w:rtl/>
                <w14:ligatures w14:val="standardContextual"/>
              </w:rPr>
              <w:t xml:space="preserve"> א. ראשית).</w:t>
            </w:r>
          </w:p>
          <w:p w14:paraId="44569EA0" w14:textId="77777777" w:rsidR="003A118B" w:rsidRPr="003A118B" w:rsidRDefault="003A118B" w:rsidP="003A118B">
            <w:pPr>
              <w:contextualSpacing/>
              <w:rPr>
                <w:rFonts w:ascii="David" w:eastAsia="Calibri" w:hAnsi="David" w:cs="David"/>
                <w:kern w:val="2"/>
                <w:sz w:val="22"/>
                <w:szCs w:val="22"/>
                <w:rtl/>
                <w14:ligatures w14:val="standardContextual"/>
              </w:rPr>
            </w:pPr>
            <w:r w:rsidRPr="003A118B">
              <w:rPr>
                <w:rFonts w:ascii="David" w:eastAsia="Calibri" w:hAnsi="David" w:cs="David" w:hint="cs"/>
                <w:kern w:val="2"/>
                <w:sz w:val="22"/>
                <w:szCs w:val="22"/>
                <w:rtl/>
                <w14:ligatures w14:val="standardContextual"/>
              </w:rPr>
              <w:t>מבט מעמיק בכתובים ובדברי חז"ל מגלה שההיפך הוא הנכון. בניית משפחה יהודית היא המשך ישיר של השכנת השכינה במשכן. כך גילה לנו רבי עקיבא (שדבריו צוטטו גם בכותרת) "</w:t>
            </w:r>
            <w:proofErr w:type="spellStart"/>
            <w:r w:rsidRPr="003A118B">
              <w:rPr>
                <w:rFonts w:ascii="FrankRuehl" w:eastAsia="Calibri" w:hAnsi="FrankRuehl" w:cs="FrankRuehl"/>
                <w:kern w:val="2"/>
                <w:rtl/>
                <w14:ligatures w14:val="standardContextual"/>
              </w:rPr>
              <w:t>דָּרֵיש</w:t>
            </w:r>
            <w:proofErr w:type="spellEnd"/>
            <w:r w:rsidRPr="003A118B">
              <w:rPr>
                <w:rFonts w:ascii="FrankRuehl" w:eastAsia="Calibri" w:hAnsi="FrankRuehl" w:cs="FrankRuehl"/>
                <w:kern w:val="2"/>
                <w:rtl/>
                <w14:ligatures w14:val="standardContextual"/>
              </w:rPr>
              <w:t>ׁ רַבִּי עֲקִיבָא אִישׁ וְאִשָּׁה זָכוּ שְׁכִינָה בֵּינֵיהֶן</w:t>
            </w:r>
            <w:r w:rsidRPr="003A118B">
              <w:rPr>
                <w:rFonts w:ascii="David" w:eastAsia="Calibri" w:hAnsi="David" w:cs="David" w:hint="cs"/>
                <w:kern w:val="2"/>
                <w:sz w:val="22"/>
                <w:szCs w:val="22"/>
                <w:rtl/>
                <w14:ligatures w14:val="standardContextual"/>
              </w:rPr>
              <w:t>" (</w:t>
            </w:r>
            <w:r w:rsidRPr="003A118B">
              <w:rPr>
                <w:rFonts w:ascii="David" w:eastAsia="Calibri" w:hAnsi="David" w:cs="David"/>
                <w:kern w:val="2"/>
                <w:sz w:val="22"/>
                <w:szCs w:val="22"/>
                <w:rtl/>
                <w14:ligatures w14:val="standardContextual"/>
              </w:rPr>
              <w:t>סוטה י"ז</w:t>
            </w:r>
            <w:r w:rsidRPr="003A118B">
              <w:rPr>
                <w:rFonts w:ascii="David" w:eastAsia="Calibri" w:hAnsi="David" w:cs="David" w:hint="cs"/>
                <w:kern w:val="2"/>
                <w:sz w:val="22"/>
                <w:szCs w:val="22"/>
                <w:rtl/>
                <w14:ligatures w14:val="standardContextual"/>
              </w:rPr>
              <w:t xml:space="preserve"> ע"א). לכן, אין זה פלא שעל הארון שהיה הכלי החשוב ביותר במשכן ובמקדש, עמדו שני כרובים שסימלו את הקשר בין האיש והאישה שזכו ששכינה ביניה</w:t>
            </w:r>
            <w:r w:rsidRPr="003A118B">
              <w:rPr>
                <w:rFonts w:ascii="David" w:eastAsia="Calibri" w:hAnsi="David" w:cs="David" w:hint="eastAsia"/>
                <w:kern w:val="2"/>
                <w:sz w:val="22"/>
                <w:szCs w:val="22"/>
                <w:rtl/>
                <w14:ligatures w14:val="standardContextual"/>
              </w:rPr>
              <w:t>ן</w:t>
            </w:r>
            <w:r w:rsidRPr="003A118B">
              <w:rPr>
                <w:rFonts w:ascii="David" w:eastAsia="Calibri" w:hAnsi="David" w:cs="David" w:hint="cs"/>
                <w:kern w:val="2"/>
                <w:sz w:val="22"/>
                <w:szCs w:val="22"/>
                <w:rtl/>
                <w14:ligatures w14:val="standardContextual"/>
              </w:rPr>
              <w:t>.</w:t>
            </w:r>
          </w:p>
          <w:p w14:paraId="4A104368" w14:textId="77777777" w:rsidR="003A118B" w:rsidRPr="003A118B" w:rsidRDefault="003A118B" w:rsidP="003A118B">
            <w:pPr>
              <w:contextualSpacing/>
              <w:rPr>
                <w:rFonts w:ascii="David" w:eastAsia="Calibri" w:hAnsi="David" w:cs="David"/>
                <w:kern w:val="2"/>
                <w:sz w:val="22"/>
                <w:szCs w:val="22"/>
                <w:rtl/>
                <w14:ligatures w14:val="standardContextual"/>
              </w:rPr>
            </w:pPr>
            <w:r w:rsidRPr="003A118B">
              <w:rPr>
                <w:rFonts w:ascii="David" w:eastAsia="Calibri" w:hAnsi="David" w:cs="David" w:hint="cs"/>
                <w:kern w:val="2"/>
                <w:sz w:val="22"/>
                <w:szCs w:val="22"/>
                <w:rtl/>
                <w14:ligatures w14:val="standardContextual"/>
              </w:rPr>
              <w:t>העיון מגלה כי לידת הזכר היא בזכות הזרעת האישה (לא נסביר בגלל קוצר היריעה מה משמעות הביטוי): "</w:t>
            </w:r>
            <w:proofErr w:type="spellStart"/>
            <w:r w:rsidRPr="003A118B">
              <w:rPr>
                <w:rFonts w:ascii="FrankRuehl" w:eastAsia="Calibri" w:hAnsi="FrankRuehl" w:cs="FrankRuehl"/>
                <w:kern w:val="2"/>
                <w:rtl/>
                <w14:ligatures w14:val="standardContextual"/>
              </w:rPr>
              <w:t>אִשָּׁה</w:t>
            </w:r>
            <w:proofErr w:type="spellEnd"/>
            <w:r w:rsidRPr="003A118B">
              <w:rPr>
                <w:rFonts w:ascii="FrankRuehl" w:eastAsia="Calibri" w:hAnsi="FrankRuehl" w:cs="FrankRuehl"/>
                <w:kern w:val="2"/>
                <w:rtl/>
                <w14:ligatures w14:val="standardContextual"/>
              </w:rPr>
              <w:t xml:space="preserve"> כִּי תַזְרִיעַ וְיָלְדָה זָכָר</w:t>
            </w:r>
            <w:r w:rsidRPr="003A118B">
              <w:rPr>
                <w:rFonts w:ascii="David" w:eastAsia="Calibri" w:hAnsi="David" w:cs="David" w:hint="cs"/>
                <w:kern w:val="2"/>
                <w:sz w:val="22"/>
                <w:szCs w:val="22"/>
                <w:rtl/>
                <w14:ligatures w14:val="standardContextual"/>
              </w:rPr>
              <w:t xml:space="preserve">" וגם </w:t>
            </w:r>
            <w:r w:rsidRPr="003A118B">
              <w:rPr>
                <w:rFonts w:ascii="FrankRuehl" w:eastAsia="Calibri" w:hAnsi="FrankRuehl" w:cs="FrankRuehl"/>
                <w:kern w:val="2"/>
                <w:rtl/>
                <w14:ligatures w14:val="standardContextual"/>
              </w:rPr>
              <w:t>דְמֵי הטָהֳרָה</w:t>
            </w:r>
            <w:r w:rsidRPr="003A118B">
              <w:rPr>
                <w:rFonts w:ascii="David" w:eastAsia="Calibri" w:hAnsi="David" w:cs="David"/>
                <w:kern w:val="2"/>
                <w:sz w:val="22"/>
                <w:szCs w:val="22"/>
                <w:rtl/>
                <w14:ligatures w14:val="standardContextual"/>
              </w:rPr>
              <w:t xml:space="preserve"> </w:t>
            </w:r>
            <w:r w:rsidRPr="003A118B">
              <w:rPr>
                <w:rFonts w:ascii="David" w:eastAsia="Calibri" w:hAnsi="David" w:cs="David" w:hint="cs"/>
                <w:kern w:val="2"/>
                <w:sz w:val="22"/>
                <w:szCs w:val="22"/>
                <w:rtl/>
                <w14:ligatures w14:val="standardContextual"/>
              </w:rPr>
              <w:t xml:space="preserve">מרובים פי כמה מימי הנידה, הכיוון ברור. המחזור החודשי איננו קשור </w:t>
            </w:r>
            <w:proofErr w:type="spellStart"/>
            <w:r w:rsidRPr="003A118B">
              <w:rPr>
                <w:rFonts w:ascii="David" w:eastAsia="Calibri" w:hAnsi="David" w:cs="David" w:hint="cs"/>
                <w:kern w:val="2"/>
                <w:sz w:val="22"/>
                <w:szCs w:val="22"/>
                <w:rtl/>
                <w14:ligatures w14:val="standardContextual"/>
              </w:rPr>
              <w:t>בדווקא</w:t>
            </w:r>
            <w:proofErr w:type="spellEnd"/>
            <w:r w:rsidRPr="003A118B">
              <w:rPr>
                <w:rFonts w:ascii="David" w:eastAsia="Calibri" w:hAnsi="David" w:cs="David" w:hint="cs"/>
                <w:kern w:val="2"/>
                <w:sz w:val="22"/>
                <w:szCs w:val="22"/>
                <w:rtl/>
                <w14:ligatures w14:val="standardContextual"/>
              </w:rPr>
              <w:t xml:space="preserve"> לטומאה, הוא זה שמבטיח את היכולת ליצור מחדש כל חודש חיים חדשים (השבת היא גם ראש חודש מלשון התחדשות). </w:t>
            </w:r>
            <w:r w:rsidRPr="003A118B">
              <w:rPr>
                <w:rFonts w:ascii="David" w:eastAsia="Calibri" w:hAnsi="David" w:cs="David"/>
                <w:kern w:val="2"/>
                <w:sz w:val="22"/>
                <w:szCs w:val="22"/>
                <w:rtl/>
                <w14:ligatures w14:val="standardContextual"/>
              </w:rPr>
              <w:t xml:space="preserve">רב, האמורא הגדול, </w:t>
            </w:r>
            <w:r w:rsidRPr="003A118B">
              <w:rPr>
                <w:rFonts w:ascii="David" w:eastAsia="Calibri" w:hAnsi="David" w:cs="David" w:hint="cs"/>
                <w:kern w:val="2"/>
                <w:sz w:val="22"/>
                <w:szCs w:val="22"/>
                <w:rtl/>
                <w14:ligatures w14:val="standardContextual"/>
              </w:rPr>
              <w:t>המחבר בין תנאי ארץ ישראל ואמוראי בבל מלמדנו:</w:t>
            </w:r>
            <w:r w:rsidRPr="003A118B">
              <w:rPr>
                <w:rFonts w:ascii="David" w:eastAsia="Calibri" w:hAnsi="David" w:cs="David"/>
                <w:kern w:val="2"/>
                <w:sz w:val="22"/>
                <w:szCs w:val="22"/>
                <w:rtl/>
                <w14:ligatures w14:val="standardContextual"/>
              </w:rPr>
              <w:t xml:space="preserve"> "רב אמר: מעין אחד הוא, התורה </w:t>
            </w:r>
            <w:proofErr w:type="spellStart"/>
            <w:r w:rsidRPr="003A118B">
              <w:rPr>
                <w:rFonts w:ascii="David" w:eastAsia="Calibri" w:hAnsi="David" w:cs="David"/>
                <w:kern w:val="2"/>
                <w:sz w:val="22"/>
                <w:szCs w:val="22"/>
                <w:rtl/>
                <w14:ligatures w14:val="standardContextual"/>
              </w:rPr>
              <w:t>טמאתו</w:t>
            </w:r>
            <w:proofErr w:type="spellEnd"/>
            <w:r w:rsidRPr="003A118B">
              <w:rPr>
                <w:rFonts w:ascii="David" w:eastAsia="Calibri" w:hAnsi="David" w:cs="David"/>
                <w:kern w:val="2"/>
                <w:sz w:val="22"/>
                <w:szCs w:val="22"/>
                <w:rtl/>
                <w14:ligatures w14:val="standardContextual"/>
              </w:rPr>
              <w:t xml:space="preserve"> והתורה </w:t>
            </w:r>
            <w:proofErr w:type="spellStart"/>
            <w:r w:rsidRPr="003A118B">
              <w:rPr>
                <w:rFonts w:ascii="David" w:eastAsia="Calibri" w:hAnsi="David" w:cs="David"/>
                <w:kern w:val="2"/>
                <w:sz w:val="22"/>
                <w:szCs w:val="22"/>
                <w:rtl/>
                <w14:ligatures w14:val="standardContextual"/>
              </w:rPr>
              <w:t>טהרתו</w:t>
            </w:r>
            <w:proofErr w:type="spellEnd"/>
            <w:r w:rsidRPr="003A118B">
              <w:rPr>
                <w:rFonts w:ascii="David" w:eastAsia="Calibri" w:hAnsi="David" w:cs="David"/>
                <w:kern w:val="2"/>
                <w:sz w:val="22"/>
                <w:szCs w:val="22"/>
                <w:rtl/>
                <w14:ligatures w14:val="standardContextual"/>
              </w:rPr>
              <w:t>" (נ</w:t>
            </w:r>
            <w:r w:rsidRPr="003A118B">
              <w:rPr>
                <w:rFonts w:ascii="David" w:eastAsia="Calibri" w:hAnsi="David" w:cs="David" w:hint="cs"/>
                <w:kern w:val="2"/>
                <w:sz w:val="22"/>
                <w:szCs w:val="22"/>
                <w:rtl/>
                <w14:ligatures w14:val="standardContextual"/>
              </w:rPr>
              <w:t>י</w:t>
            </w:r>
            <w:r w:rsidRPr="003A118B">
              <w:rPr>
                <w:rFonts w:ascii="David" w:eastAsia="Calibri" w:hAnsi="David" w:cs="David"/>
                <w:kern w:val="2"/>
                <w:sz w:val="22"/>
                <w:szCs w:val="22"/>
                <w:rtl/>
                <w14:ligatures w14:val="standardContextual"/>
              </w:rPr>
              <w:t>דה לה ע"ב).</w:t>
            </w:r>
            <w:r w:rsidRPr="003A118B">
              <w:rPr>
                <w:rFonts w:ascii="David" w:eastAsia="Calibri" w:hAnsi="David" w:cs="David" w:hint="cs"/>
                <w:kern w:val="2"/>
                <w:sz w:val="22"/>
                <w:szCs w:val="22"/>
                <w:rtl/>
                <w14:ligatures w14:val="standardContextual"/>
              </w:rPr>
              <w:t xml:space="preserve"> ימי הנידה אינם המרחיקים לטווח הקצר, הם המקרבים מאוד לטווח הארוך. ברית המילה נזכרת בפרשיה זו כי גם היא מאורע מקדש ומרומם "אות ברית קודש".</w:t>
            </w:r>
            <w:r w:rsidRPr="003A118B">
              <w:rPr>
                <w:rFonts w:ascii="David" w:eastAsia="Calibri" w:hAnsi="David" w:cs="David"/>
                <w:kern w:val="2"/>
                <w:sz w:val="22"/>
                <w:szCs w:val="22"/>
                <w:rtl/>
                <w14:ligatures w14:val="standardContextual"/>
              </w:rPr>
              <w:t xml:space="preserve"> </w:t>
            </w:r>
            <w:r w:rsidRPr="003A118B">
              <w:rPr>
                <w:rFonts w:ascii="David" w:eastAsia="Calibri" w:hAnsi="David" w:cs="David" w:hint="cs"/>
                <w:kern w:val="2"/>
                <w:sz w:val="22"/>
                <w:szCs w:val="22"/>
                <w:rtl/>
                <w14:ligatures w14:val="standardContextual"/>
              </w:rPr>
              <w:t>כשם שדם הברית מקדש ומרומם כך גם דמי הטהרה.</w:t>
            </w:r>
          </w:p>
          <w:p w14:paraId="6CF6BA1B" w14:textId="77777777" w:rsidR="003A118B" w:rsidRPr="003A118B" w:rsidRDefault="003A118B" w:rsidP="003A118B">
            <w:pPr>
              <w:contextualSpacing/>
              <w:rPr>
                <w:rFonts w:ascii="David" w:eastAsia="Calibri" w:hAnsi="David" w:cs="David"/>
                <w:kern w:val="2"/>
                <w:sz w:val="22"/>
                <w:szCs w:val="22"/>
                <w:rtl/>
                <w14:ligatures w14:val="standardContextual"/>
              </w:rPr>
            </w:pPr>
            <w:r w:rsidRPr="003A118B">
              <w:rPr>
                <w:rFonts w:ascii="David" w:eastAsia="Calibri" w:hAnsi="David" w:cs="David" w:hint="cs"/>
                <w:kern w:val="2"/>
                <w:sz w:val="22"/>
                <w:szCs w:val="22"/>
                <w:rtl/>
                <w14:ligatures w14:val="standardContextual"/>
              </w:rPr>
              <w:t>א</w:t>
            </w:r>
            <w:r w:rsidRPr="003A118B">
              <w:rPr>
                <w:rFonts w:ascii="David" w:eastAsia="Calibri" w:hAnsi="David" w:cs="David"/>
                <w:kern w:val="2"/>
                <w:sz w:val="22"/>
                <w:szCs w:val="22"/>
                <w:rtl/>
                <w14:ligatures w14:val="standardContextual"/>
              </w:rPr>
              <w:t xml:space="preserve">.  השינוי בהלכות בין לידת זכר ללידת נקבה, קשור להבדל בין מערכות הזמנים השונים של האיש ואישה. כל אחד מהם מתנהל במערכת זמן שונה. </w:t>
            </w:r>
            <w:r w:rsidRPr="003A118B">
              <w:rPr>
                <w:rFonts w:ascii="David" w:eastAsia="Calibri" w:hAnsi="David" w:cs="David" w:hint="cs"/>
                <w:kern w:val="2"/>
                <w:sz w:val="22"/>
                <w:szCs w:val="22"/>
                <w:rtl/>
                <w14:ligatures w14:val="standardContextual"/>
              </w:rPr>
              <w:t xml:space="preserve">האיש והאישה הם שותפים אבל שונים. השוני הוא היתרון שיוצר את ההזדמנות ליצירה חדשה. </w:t>
            </w:r>
            <w:r w:rsidRPr="003A118B">
              <w:rPr>
                <w:rFonts w:ascii="David" w:eastAsia="Calibri" w:hAnsi="David" w:cs="David"/>
                <w:kern w:val="2"/>
                <w:sz w:val="22"/>
                <w:szCs w:val="22"/>
                <w:rtl/>
                <w14:ligatures w14:val="standardContextual"/>
              </w:rPr>
              <w:t>לוח השנה הזכרי מושפע בעיקר מן השמש</w:t>
            </w:r>
            <w:r w:rsidRPr="003A118B">
              <w:rPr>
                <w:rFonts w:ascii="David" w:eastAsia="Calibri" w:hAnsi="David" w:cs="David" w:hint="cs"/>
                <w:kern w:val="2"/>
                <w:sz w:val="22"/>
                <w:szCs w:val="22"/>
                <w:rtl/>
                <w14:ligatures w14:val="standardContextual"/>
              </w:rPr>
              <w:t xml:space="preserve"> (למעלה מתשעים אחוז מן הגברים עבדו רוב ההיסטוריה האנושית בשדות כחקלאים)</w:t>
            </w:r>
            <w:r w:rsidRPr="003A118B">
              <w:rPr>
                <w:rFonts w:ascii="David" w:eastAsia="Calibri" w:hAnsi="David" w:cs="David"/>
                <w:kern w:val="2"/>
                <w:sz w:val="22"/>
                <w:szCs w:val="22"/>
                <w:rtl/>
                <w14:ligatures w14:val="standardContextual"/>
              </w:rPr>
              <w:t xml:space="preserve"> וממילא </w:t>
            </w:r>
            <w:r w:rsidRPr="003A118B">
              <w:rPr>
                <w:rFonts w:ascii="David" w:eastAsia="Calibri" w:hAnsi="David" w:cs="David" w:hint="cs"/>
                <w:kern w:val="2"/>
                <w:sz w:val="22"/>
                <w:szCs w:val="22"/>
                <w:rtl/>
                <w14:ligatures w14:val="standardContextual"/>
              </w:rPr>
              <w:t>המחזוריות היא</w:t>
            </w:r>
            <w:r w:rsidRPr="003A118B">
              <w:rPr>
                <w:rFonts w:ascii="David" w:eastAsia="Calibri" w:hAnsi="David" w:cs="David"/>
                <w:kern w:val="2"/>
                <w:sz w:val="22"/>
                <w:szCs w:val="22"/>
                <w:rtl/>
                <w14:ligatures w14:val="standardContextual"/>
              </w:rPr>
              <w:t xml:space="preserve"> יומי</w:t>
            </w:r>
            <w:r w:rsidRPr="003A118B">
              <w:rPr>
                <w:rFonts w:ascii="David" w:eastAsia="Calibri" w:hAnsi="David" w:cs="David" w:hint="cs"/>
                <w:kern w:val="2"/>
                <w:sz w:val="22"/>
                <w:szCs w:val="22"/>
                <w:rtl/>
                <w14:ligatures w14:val="standardContextual"/>
              </w:rPr>
              <w:t>ת</w:t>
            </w:r>
            <w:r w:rsidRPr="003A118B">
              <w:rPr>
                <w:rFonts w:ascii="David" w:eastAsia="Calibri" w:hAnsi="David" w:cs="David"/>
                <w:kern w:val="2"/>
                <w:sz w:val="22"/>
                <w:szCs w:val="22"/>
                <w:rtl/>
                <w14:ligatures w14:val="standardContextual"/>
              </w:rPr>
              <w:t>/שנתי</w:t>
            </w:r>
            <w:r w:rsidRPr="003A118B">
              <w:rPr>
                <w:rFonts w:ascii="David" w:eastAsia="Calibri" w:hAnsi="David" w:cs="David" w:hint="cs"/>
                <w:kern w:val="2"/>
                <w:sz w:val="22"/>
                <w:szCs w:val="22"/>
                <w:rtl/>
                <w14:ligatures w14:val="standardContextual"/>
              </w:rPr>
              <w:t>ת</w:t>
            </w:r>
            <w:r w:rsidRPr="003A118B">
              <w:rPr>
                <w:rFonts w:ascii="David" w:eastAsia="Calibri" w:hAnsi="David" w:cs="David"/>
                <w:kern w:val="2"/>
                <w:sz w:val="22"/>
                <w:szCs w:val="22"/>
                <w:rtl/>
                <w14:ligatures w14:val="standardContextual"/>
              </w:rPr>
              <w:t xml:space="preserve">. לוח השנה הנקבי מושפע מן הירח והוא אכן </w:t>
            </w:r>
            <w:r w:rsidRPr="003A118B">
              <w:rPr>
                <w:rFonts w:ascii="David" w:eastAsia="Calibri" w:hAnsi="David" w:cs="David" w:hint="cs"/>
                <w:kern w:val="2"/>
                <w:sz w:val="22"/>
                <w:szCs w:val="22"/>
                <w:rtl/>
                <w14:ligatures w14:val="standardContextual"/>
              </w:rPr>
              <w:t xml:space="preserve">לוח </w:t>
            </w:r>
            <w:r w:rsidRPr="003A118B">
              <w:rPr>
                <w:rFonts w:ascii="David" w:eastAsia="Calibri" w:hAnsi="David" w:cs="David"/>
                <w:kern w:val="2"/>
                <w:sz w:val="22"/>
                <w:szCs w:val="22"/>
                <w:rtl/>
                <w14:ligatures w14:val="standardContextual"/>
              </w:rPr>
              <w:t xml:space="preserve">חודשי. לכן, רק גברים חייבים במצוות עשה שהזמן </w:t>
            </w:r>
            <w:proofErr w:type="spellStart"/>
            <w:r w:rsidRPr="003A118B">
              <w:rPr>
                <w:rFonts w:ascii="David" w:eastAsia="Calibri" w:hAnsi="David" w:cs="David"/>
                <w:kern w:val="2"/>
                <w:sz w:val="22"/>
                <w:szCs w:val="22"/>
                <w:rtl/>
                <w14:ligatures w14:val="standardContextual"/>
              </w:rPr>
              <w:t>גרמא</w:t>
            </w:r>
            <w:proofErr w:type="spellEnd"/>
            <w:r w:rsidRPr="003A118B">
              <w:rPr>
                <w:rFonts w:ascii="David" w:eastAsia="Calibri" w:hAnsi="David" w:cs="David"/>
                <w:kern w:val="2"/>
                <w:sz w:val="22"/>
                <w:szCs w:val="22"/>
                <w:rtl/>
                <w14:ligatures w14:val="standardContextual"/>
              </w:rPr>
              <w:t xml:space="preserve"> (מצוות אלה קשורות  להבדלים בין יום ולילה </w:t>
            </w:r>
            <w:r w:rsidRPr="003A118B">
              <w:rPr>
                <w:rFonts w:ascii="David" w:eastAsia="Calibri" w:hAnsi="David" w:cs="David" w:hint="cs"/>
                <w:kern w:val="2"/>
                <w:sz w:val="22"/>
                <w:szCs w:val="22"/>
                <w:rtl/>
                <w14:ligatures w14:val="standardContextual"/>
              </w:rPr>
              <w:t>ש</w:t>
            </w:r>
            <w:r w:rsidRPr="003A118B">
              <w:rPr>
                <w:rFonts w:ascii="David" w:eastAsia="Calibri" w:hAnsi="David" w:cs="David"/>
                <w:kern w:val="2"/>
                <w:sz w:val="22"/>
                <w:szCs w:val="22"/>
                <w:rtl/>
                <w14:ligatures w14:val="standardContextual"/>
              </w:rPr>
              <w:t xml:space="preserve">מושפעים ישירות </w:t>
            </w:r>
            <w:r w:rsidRPr="003A118B">
              <w:rPr>
                <w:rFonts w:ascii="David" w:eastAsia="Calibri" w:hAnsi="David" w:cs="David" w:hint="cs"/>
                <w:kern w:val="2"/>
                <w:sz w:val="22"/>
                <w:szCs w:val="22"/>
                <w:rtl/>
                <w14:ligatures w14:val="standardContextual"/>
              </w:rPr>
              <w:t>מ</w:t>
            </w:r>
            <w:r w:rsidRPr="003A118B">
              <w:rPr>
                <w:rFonts w:ascii="David" w:eastAsia="Calibri" w:hAnsi="David" w:cs="David"/>
                <w:kern w:val="2"/>
                <w:sz w:val="22"/>
                <w:szCs w:val="22"/>
                <w:rtl/>
                <w14:ligatures w14:val="standardContextual"/>
              </w:rPr>
              <w:t>השמש, או לחגים התלויים בלוח הש</w:t>
            </w:r>
            <w:r w:rsidRPr="003A118B">
              <w:rPr>
                <w:rFonts w:ascii="David" w:eastAsia="Calibri" w:hAnsi="David" w:cs="David" w:hint="cs"/>
                <w:kern w:val="2"/>
                <w:sz w:val="22"/>
                <w:szCs w:val="22"/>
                <w:rtl/>
                <w14:ligatures w14:val="standardContextual"/>
              </w:rPr>
              <w:t>י</w:t>
            </w:r>
            <w:r w:rsidRPr="003A118B">
              <w:rPr>
                <w:rFonts w:ascii="David" w:eastAsia="Calibri" w:hAnsi="David" w:cs="David"/>
                <w:kern w:val="2"/>
                <w:sz w:val="22"/>
                <w:szCs w:val="22"/>
                <w:rtl/>
                <w14:ligatures w14:val="standardContextual"/>
              </w:rPr>
              <w:t>משי). מאידך גיסא, כל ההלכות הקשורות לנשים מוגדרות דווקא בחודשים ולא בשנים או חלקיהן</w:t>
            </w:r>
            <w:r w:rsidRPr="003A118B">
              <w:rPr>
                <w:rFonts w:ascii="David" w:eastAsia="Calibri" w:hAnsi="David" w:cs="David" w:hint="cs"/>
                <w:kern w:val="2"/>
                <w:sz w:val="22"/>
                <w:szCs w:val="22"/>
                <w:rtl/>
                <w14:ligatures w14:val="standardContextual"/>
              </w:rPr>
              <w:t xml:space="preserve">. לדוגמא: ההגדרה ההלכתית של מינקת הוא כ"ד חודשים ולא שנתיים,  וגזירת הבחנה היא ג' חודשים ולא רבע שנה. </w:t>
            </w:r>
          </w:p>
          <w:p w14:paraId="504E8908" w14:textId="77777777" w:rsidR="003A118B" w:rsidRPr="003A118B" w:rsidRDefault="003A118B" w:rsidP="003A118B">
            <w:pPr>
              <w:contextualSpacing/>
              <w:rPr>
                <w:rFonts w:ascii="David" w:eastAsia="Calibri" w:hAnsi="David" w:cs="David"/>
                <w:kern w:val="2"/>
                <w:sz w:val="22"/>
                <w:szCs w:val="22"/>
                <w:rtl/>
                <w14:ligatures w14:val="standardContextual"/>
              </w:rPr>
            </w:pPr>
            <w:r w:rsidRPr="003A118B">
              <w:rPr>
                <w:rFonts w:ascii="David" w:eastAsia="Calibri" w:hAnsi="David" w:cs="David" w:hint="cs"/>
                <w:kern w:val="2"/>
                <w:sz w:val="22"/>
                <w:szCs w:val="22"/>
                <w:rtl/>
                <w14:ligatures w14:val="standardContextual"/>
              </w:rPr>
              <w:t>ב</w:t>
            </w:r>
            <w:r w:rsidRPr="003A118B">
              <w:rPr>
                <w:rFonts w:ascii="David" w:eastAsia="Calibri" w:hAnsi="David" w:cs="David"/>
                <w:kern w:val="2"/>
                <w:sz w:val="22"/>
                <w:szCs w:val="22"/>
                <w:rtl/>
                <w14:ligatures w14:val="standardContextual"/>
              </w:rPr>
              <w:t xml:space="preserve">.   הלכות טהרת המשפחה קובעות כלל הלכתי-רוחני יסודי. האיש חייב להתאים את סדרי חייו, צרכיו ורצונותיו אל לוח הזמנים שנקבע באופן טבעי על ידי אשתו. ההתחשבות והרגישות הופכת את מערכת הקשרים לאנושית וערכית - לקשר של אהבה ורעות. קשר שמרומם והופך את חיי האישות </w:t>
            </w:r>
            <w:r w:rsidRPr="003A118B">
              <w:rPr>
                <w:rFonts w:ascii="David" w:eastAsia="Calibri" w:hAnsi="David" w:cs="David" w:hint="cs"/>
                <w:kern w:val="2"/>
                <w:sz w:val="22"/>
                <w:szCs w:val="22"/>
                <w:rtl/>
                <w14:ligatures w14:val="standardContextual"/>
              </w:rPr>
              <w:t>ל</w:t>
            </w:r>
            <w:r w:rsidRPr="003A118B">
              <w:rPr>
                <w:rFonts w:ascii="David" w:eastAsia="Calibri" w:hAnsi="David" w:cs="David"/>
                <w:kern w:val="2"/>
                <w:sz w:val="22"/>
                <w:szCs w:val="22"/>
                <w:rtl/>
                <w14:ligatures w14:val="standardContextual"/>
              </w:rPr>
              <w:t xml:space="preserve">נעלה הרבה למעלה מהתפרצות של דופמין </w:t>
            </w:r>
            <w:r w:rsidRPr="003A118B">
              <w:rPr>
                <w:rFonts w:ascii="David" w:eastAsia="Calibri" w:hAnsi="David" w:cs="David" w:hint="cs"/>
                <w:kern w:val="2"/>
                <w:sz w:val="22"/>
                <w:szCs w:val="22"/>
                <w:rtl/>
                <w14:ligatures w14:val="standardContextual"/>
              </w:rPr>
              <w:t>והורמונים נוספים</w:t>
            </w:r>
            <w:r w:rsidRPr="003A118B">
              <w:rPr>
                <w:rFonts w:ascii="David" w:eastAsia="Calibri" w:hAnsi="David" w:cs="David"/>
                <w:kern w:val="2"/>
                <w:sz w:val="22"/>
                <w:szCs w:val="22"/>
                <w:rtl/>
                <w14:ligatures w14:val="standardContextual"/>
              </w:rPr>
              <w:t xml:space="preserve">. </w:t>
            </w:r>
            <w:r w:rsidRPr="003A118B">
              <w:rPr>
                <w:rFonts w:ascii="David" w:eastAsia="Calibri" w:hAnsi="David" w:cs="David" w:hint="cs"/>
                <w:kern w:val="2"/>
                <w:sz w:val="22"/>
                <w:szCs w:val="22"/>
                <w:rtl/>
                <w14:ligatures w14:val="standardContextual"/>
              </w:rPr>
              <w:t>לכן, אין זה פלא ש</w:t>
            </w:r>
            <w:r w:rsidRPr="003A118B">
              <w:rPr>
                <w:rFonts w:ascii="David" w:eastAsia="Calibri" w:hAnsi="David" w:cs="David"/>
                <w:kern w:val="2"/>
                <w:sz w:val="22"/>
                <w:szCs w:val="22"/>
                <w:rtl/>
                <w14:ligatures w14:val="standardContextual"/>
              </w:rPr>
              <w:t>קשר זה זכה</w:t>
            </w:r>
            <w:r w:rsidRPr="003A118B">
              <w:rPr>
                <w:rFonts w:ascii="David" w:eastAsia="Calibri" w:hAnsi="David" w:cs="David" w:hint="cs"/>
                <w:kern w:val="2"/>
                <w:sz w:val="22"/>
                <w:szCs w:val="22"/>
                <w:rtl/>
                <w14:ligatures w14:val="standardContextual"/>
              </w:rPr>
              <w:t>, כאמור,</w:t>
            </w:r>
            <w:r w:rsidRPr="003A118B">
              <w:rPr>
                <w:rFonts w:ascii="David" w:eastAsia="Calibri" w:hAnsi="David" w:cs="David"/>
                <w:kern w:val="2"/>
                <w:sz w:val="22"/>
                <w:szCs w:val="22"/>
                <w:rtl/>
                <w14:ligatures w14:val="standardContextual"/>
              </w:rPr>
              <w:t xml:space="preserve"> להיות הסמל ליחס בין כנסת ישראל </w:t>
            </w:r>
            <w:proofErr w:type="spellStart"/>
            <w:r w:rsidRPr="003A118B">
              <w:rPr>
                <w:rFonts w:ascii="David" w:eastAsia="Calibri" w:hAnsi="David" w:cs="David"/>
                <w:kern w:val="2"/>
                <w:sz w:val="22"/>
                <w:szCs w:val="22"/>
                <w:rtl/>
                <w14:ligatures w14:val="standardContextual"/>
              </w:rPr>
              <w:t>וקודשא</w:t>
            </w:r>
            <w:proofErr w:type="spellEnd"/>
            <w:r w:rsidRPr="003A118B">
              <w:rPr>
                <w:rFonts w:ascii="David" w:eastAsia="Calibri" w:hAnsi="David" w:cs="David"/>
                <w:kern w:val="2"/>
                <w:sz w:val="22"/>
                <w:szCs w:val="22"/>
                <w:rtl/>
                <w14:ligatures w14:val="standardContextual"/>
              </w:rPr>
              <w:t xml:space="preserve"> </w:t>
            </w:r>
            <w:proofErr w:type="spellStart"/>
            <w:r w:rsidRPr="003A118B">
              <w:rPr>
                <w:rFonts w:ascii="David" w:eastAsia="Calibri" w:hAnsi="David" w:cs="David"/>
                <w:kern w:val="2"/>
                <w:sz w:val="22"/>
                <w:szCs w:val="22"/>
                <w:rtl/>
                <w14:ligatures w14:val="standardContextual"/>
              </w:rPr>
              <w:t>בריך</w:t>
            </w:r>
            <w:proofErr w:type="spellEnd"/>
            <w:r w:rsidRPr="003A118B">
              <w:rPr>
                <w:rFonts w:ascii="David" w:eastAsia="Calibri" w:hAnsi="David" w:cs="David"/>
                <w:kern w:val="2"/>
                <w:sz w:val="22"/>
                <w:szCs w:val="22"/>
                <w:rtl/>
                <w14:ligatures w14:val="standardContextual"/>
              </w:rPr>
              <w:t xml:space="preserve"> הוא.</w:t>
            </w:r>
          </w:p>
          <w:p w14:paraId="6FEBCF0C" w14:textId="77777777" w:rsidR="003A118B" w:rsidRPr="003A118B" w:rsidRDefault="003A118B" w:rsidP="003A118B">
            <w:pPr>
              <w:contextualSpacing/>
              <w:rPr>
                <w:rFonts w:ascii="David" w:eastAsia="Calibri" w:hAnsi="David" w:cs="David"/>
                <w:kern w:val="2"/>
                <w:sz w:val="22"/>
                <w:szCs w:val="22"/>
                <w:rtl/>
                <w14:ligatures w14:val="standardContextual"/>
              </w:rPr>
            </w:pPr>
            <w:r w:rsidRPr="003A118B">
              <w:rPr>
                <w:rFonts w:ascii="David" w:eastAsia="Calibri" w:hAnsi="David" w:cs="David" w:hint="cs"/>
                <w:kern w:val="2"/>
                <w:sz w:val="22"/>
                <w:szCs w:val="22"/>
                <w:rtl/>
                <w14:ligatures w14:val="standardContextual"/>
              </w:rPr>
              <w:t>ג</w:t>
            </w:r>
            <w:r w:rsidRPr="003A118B">
              <w:rPr>
                <w:rFonts w:ascii="David" w:eastAsia="Calibri" w:hAnsi="David" w:cs="David"/>
                <w:kern w:val="2"/>
                <w:sz w:val="22"/>
                <w:szCs w:val="22"/>
                <w:rtl/>
                <w14:ligatures w14:val="standardContextual"/>
              </w:rPr>
              <w:t>.   </w:t>
            </w:r>
            <w:r w:rsidRPr="003A118B">
              <w:rPr>
                <w:rFonts w:ascii="David" w:eastAsia="Calibri" w:hAnsi="David" w:cs="David" w:hint="cs"/>
                <w:kern w:val="2"/>
                <w:sz w:val="22"/>
                <w:szCs w:val="22"/>
                <w:rtl/>
                <w14:ligatures w14:val="standardContextual"/>
              </w:rPr>
              <w:t xml:space="preserve">הופעתה של </w:t>
            </w:r>
            <w:r w:rsidRPr="003A118B">
              <w:rPr>
                <w:rFonts w:ascii="David" w:eastAsia="Calibri" w:hAnsi="David" w:cs="David"/>
                <w:kern w:val="2"/>
                <w:sz w:val="22"/>
                <w:szCs w:val="22"/>
                <w:rtl/>
                <w14:ligatures w14:val="standardContextual"/>
              </w:rPr>
              <w:t xml:space="preserve">מצוות המילה באה ללמד, כי דווקא האיש ולא האישה הוא </w:t>
            </w:r>
            <w:r w:rsidRPr="003A118B">
              <w:rPr>
                <w:rFonts w:ascii="David" w:eastAsia="Calibri" w:hAnsi="David" w:cs="David" w:hint="cs"/>
                <w:kern w:val="2"/>
                <w:sz w:val="22"/>
                <w:szCs w:val="22"/>
                <w:rtl/>
                <w14:ligatures w14:val="standardContextual"/>
              </w:rPr>
              <w:t xml:space="preserve">זה </w:t>
            </w:r>
            <w:r w:rsidRPr="003A118B">
              <w:rPr>
                <w:rFonts w:ascii="David" w:eastAsia="Calibri" w:hAnsi="David" w:cs="David"/>
                <w:kern w:val="2"/>
                <w:sz w:val="22"/>
                <w:szCs w:val="22"/>
                <w:rtl/>
                <w14:ligatures w14:val="standardContextual"/>
              </w:rPr>
              <w:t>שצריך להתאים עצמו</w:t>
            </w:r>
            <w:r w:rsidRPr="003A118B">
              <w:rPr>
                <w:rFonts w:ascii="David" w:eastAsia="Calibri" w:hAnsi="David" w:cs="David" w:hint="cs"/>
                <w:kern w:val="2"/>
                <w:sz w:val="22"/>
                <w:szCs w:val="22"/>
                <w:rtl/>
                <w14:ligatures w14:val="standardContextual"/>
              </w:rPr>
              <w:t xml:space="preserve"> - </w:t>
            </w:r>
            <w:r w:rsidRPr="003A118B">
              <w:rPr>
                <w:rFonts w:ascii="David" w:eastAsia="Calibri" w:hAnsi="David" w:cs="David"/>
                <w:kern w:val="2"/>
                <w:sz w:val="22"/>
                <w:szCs w:val="22"/>
                <w:rtl/>
                <w14:ligatures w14:val="standardContextual"/>
              </w:rPr>
              <w:t xml:space="preserve">ל"מעט את עצמו". ברית המילה בפשטות משמעותה שעבוד גם של חלק זה בגוף האדם לעבודת הבורא. הפגיעה לכאורה, דווקא באיבר זה, משמעותה "לברית הבט ואל </w:t>
            </w:r>
            <w:proofErr w:type="spellStart"/>
            <w:r w:rsidRPr="003A118B">
              <w:rPr>
                <w:rFonts w:ascii="David" w:eastAsia="Calibri" w:hAnsi="David" w:cs="David"/>
                <w:kern w:val="2"/>
                <w:sz w:val="22"/>
                <w:szCs w:val="22"/>
                <w:rtl/>
                <w14:ligatures w14:val="standardContextual"/>
              </w:rPr>
              <w:t>תפן</w:t>
            </w:r>
            <w:proofErr w:type="spellEnd"/>
            <w:r w:rsidRPr="003A118B">
              <w:rPr>
                <w:rFonts w:ascii="David" w:eastAsia="Calibri" w:hAnsi="David" w:cs="David"/>
                <w:kern w:val="2"/>
                <w:sz w:val="22"/>
                <w:szCs w:val="22"/>
                <w:rtl/>
                <w14:ligatures w14:val="standardContextual"/>
              </w:rPr>
              <w:t xml:space="preserve"> ליצר". יש כאן מעין </w:t>
            </w:r>
            <w:r w:rsidRPr="003A118B">
              <w:rPr>
                <w:rFonts w:ascii="David" w:eastAsia="Calibri" w:hAnsi="David" w:cs="David" w:hint="cs"/>
                <w:kern w:val="2"/>
                <w:sz w:val="22"/>
                <w:szCs w:val="22"/>
                <w:rtl/>
                <w14:ligatures w14:val="standardContextual"/>
              </w:rPr>
              <w:t>הקבלה ל</w:t>
            </w:r>
            <w:r w:rsidRPr="003A118B">
              <w:rPr>
                <w:rFonts w:ascii="David" w:eastAsia="Calibri" w:hAnsi="David" w:cs="David"/>
                <w:kern w:val="2"/>
                <w:sz w:val="22"/>
                <w:szCs w:val="22"/>
                <w:rtl/>
                <w14:ligatures w14:val="standardContextual"/>
              </w:rPr>
              <w:t>הדרכה שהופנתה אל הלבנה "לכי ומעטי את עצמך" (חולין דף ס ע"ב) הפעם היא מופנית אל האיש.</w:t>
            </w:r>
          </w:p>
          <w:p w14:paraId="4472E2B7" w14:textId="77777777" w:rsidR="003A118B" w:rsidRPr="003A118B" w:rsidRDefault="003A118B" w:rsidP="003A118B">
            <w:pPr>
              <w:contextualSpacing/>
              <w:rPr>
                <w:rFonts w:ascii="David" w:eastAsia="Calibri" w:hAnsi="David" w:cs="David"/>
                <w:kern w:val="2"/>
                <w:sz w:val="22"/>
                <w:szCs w:val="22"/>
                <w:rtl/>
                <w14:ligatures w14:val="standardContextual"/>
              </w:rPr>
            </w:pPr>
            <w:r w:rsidRPr="003A118B">
              <w:rPr>
                <w:rFonts w:ascii="David" w:eastAsia="Calibri" w:hAnsi="David" w:cs="David"/>
                <w:kern w:val="2"/>
                <w:sz w:val="22"/>
                <w:szCs w:val="22"/>
                <w:rtl/>
                <w14:ligatures w14:val="standardContextual"/>
              </w:rPr>
              <w:t>על פי דברינו יש כאן ציווי כפול</w:t>
            </w:r>
            <w:r w:rsidRPr="003A118B">
              <w:rPr>
                <w:rFonts w:ascii="David" w:eastAsia="Calibri" w:hAnsi="David" w:cs="David" w:hint="cs"/>
                <w:kern w:val="2"/>
                <w:sz w:val="22"/>
                <w:szCs w:val="22"/>
                <w:rtl/>
                <w14:ligatures w14:val="standardContextual"/>
              </w:rPr>
              <w:t>:</w:t>
            </w:r>
            <w:r w:rsidRPr="003A118B">
              <w:rPr>
                <w:rFonts w:ascii="David" w:eastAsia="Calibri" w:hAnsi="David" w:cs="David"/>
                <w:kern w:val="2"/>
                <w:sz w:val="22"/>
                <w:szCs w:val="22"/>
                <w:rtl/>
                <w14:ligatures w14:val="standardContextual"/>
              </w:rPr>
              <w:t xml:space="preserve"> "קדש עצמך במותר לך" אבל גם, חובתך היא לספק את </w:t>
            </w:r>
            <w:r w:rsidRPr="003A118B">
              <w:rPr>
                <w:rFonts w:ascii="David" w:eastAsia="Calibri" w:hAnsi="David" w:cs="David" w:hint="cs"/>
                <w:kern w:val="2"/>
                <w:sz w:val="22"/>
                <w:szCs w:val="22"/>
                <w:rtl/>
                <w14:ligatures w14:val="standardContextual"/>
              </w:rPr>
              <w:t xml:space="preserve">בת זוגך </w:t>
            </w:r>
            <w:r w:rsidRPr="003A118B">
              <w:rPr>
                <w:rFonts w:ascii="David" w:eastAsia="Calibri" w:hAnsi="David" w:cs="David"/>
                <w:kern w:val="2"/>
                <w:sz w:val="22"/>
                <w:szCs w:val="22"/>
                <w:rtl/>
                <w14:ligatures w14:val="standardContextual"/>
              </w:rPr>
              <w:t>ולא את עצמך.</w:t>
            </w:r>
          </w:p>
          <w:p w14:paraId="06705AEE" w14:textId="77777777" w:rsidR="003A118B" w:rsidRPr="003A118B" w:rsidRDefault="003A118B" w:rsidP="003A118B">
            <w:pPr>
              <w:contextualSpacing/>
              <w:rPr>
                <w:rFonts w:ascii="David" w:eastAsia="Calibri" w:hAnsi="David" w:cs="David"/>
                <w:kern w:val="2"/>
                <w:sz w:val="16"/>
                <w:szCs w:val="16"/>
                <w:rtl/>
                <w14:ligatures w14:val="standardContextual"/>
              </w:rPr>
            </w:pPr>
          </w:p>
          <w:p w14:paraId="1F5D04C6" w14:textId="77777777" w:rsidR="003A118B" w:rsidRPr="003A118B" w:rsidRDefault="003A118B" w:rsidP="003A118B">
            <w:pPr>
              <w:contextualSpacing/>
              <w:rPr>
                <w:rFonts w:ascii="David" w:eastAsia="Calibri" w:hAnsi="David" w:cs="David"/>
                <w:kern w:val="2"/>
                <w:sz w:val="22"/>
                <w:szCs w:val="22"/>
                <w:rtl/>
                <w14:ligatures w14:val="standardContextual"/>
              </w:rPr>
            </w:pPr>
            <w:r w:rsidRPr="003A118B">
              <w:rPr>
                <w:rFonts w:ascii="David" w:eastAsia="Calibri" w:hAnsi="David" w:cs="David"/>
                <w:kern w:val="2"/>
                <w:sz w:val="22"/>
                <w:szCs w:val="22"/>
                <w:rtl/>
                <w14:ligatures w14:val="standardContextual"/>
              </w:rPr>
              <w:t>דווקא בימים טרופים אלה חובתנו לחזק את התא המשפחתי,</w:t>
            </w:r>
            <w:r w:rsidRPr="003A118B">
              <w:rPr>
                <w:rFonts w:ascii="David" w:eastAsia="Calibri" w:hAnsi="David" w:cs="David" w:hint="cs"/>
                <w:kern w:val="2"/>
                <w:sz w:val="22"/>
                <w:szCs w:val="22"/>
                <w:rtl/>
                <w14:ligatures w14:val="standardContextual"/>
              </w:rPr>
              <w:t xml:space="preserve"> </w:t>
            </w:r>
            <w:r w:rsidRPr="003A118B">
              <w:rPr>
                <w:rFonts w:ascii="David" w:eastAsia="Calibri" w:hAnsi="David" w:cs="David"/>
                <w:kern w:val="2"/>
                <w:sz w:val="22"/>
                <w:szCs w:val="22"/>
                <w:rtl/>
                <w14:ligatures w14:val="standardContextual"/>
              </w:rPr>
              <w:t>לרומם את קדושתו ולמלא את הבית היהודי בתכנים של רגישות והתחשבות</w:t>
            </w:r>
            <w:r w:rsidRPr="003A118B">
              <w:rPr>
                <w:rFonts w:ascii="David" w:eastAsia="Calibri" w:hAnsi="David" w:cs="David" w:hint="cs"/>
                <w:kern w:val="2"/>
                <w:sz w:val="22"/>
                <w:szCs w:val="22"/>
                <w:rtl/>
                <w14:ligatures w14:val="standardContextual"/>
              </w:rPr>
              <w:t>.</w:t>
            </w:r>
          </w:p>
          <w:p w14:paraId="4E8CEF21" w14:textId="77777777" w:rsidR="003A118B" w:rsidRPr="003A118B" w:rsidRDefault="003A118B" w:rsidP="003A118B">
            <w:pPr>
              <w:contextualSpacing/>
              <w:rPr>
                <w:rFonts w:ascii="David" w:eastAsia="Calibri" w:hAnsi="David" w:cs="David"/>
                <w:kern w:val="2"/>
                <w:sz w:val="16"/>
                <w:szCs w:val="16"/>
                <w:rtl/>
                <w14:ligatures w14:val="standardContextual"/>
              </w:rPr>
            </w:pPr>
          </w:p>
          <w:p w14:paraId="0FBE9E9B" w14:textId="77777777" w:rsidR="003A118B" w:rsidRPr="003A118B" w:rsidRDefault="003A118B" w:rsidP="003A118B">
            <w:pPr>
              <w:contextualSpacing/>
              <w:jc w:val="center"/>
              <w:rPr>
                <w:rFonts w:ascii="David" w:eastAsia="Calibri" w:hAnsi="David" w:cs="David"/>
                <w:kern w:val="2"/>
                <w:sz w:val="22"/>
                <w:szCs w:val="22"/>
                <w14:ligatures w14:val="standardContextual"/>
              </w:rPr>
            </w:pPr>
            <w:r w:rsidRPr="003A118B">
              <w:rPr>
                <w:rFonts w:ascii="David" w:eastAsia="Calibri" w:hAnsi="David" w:cs="David" w:hint="cs"/>
                <w:kern w:val="2"/>
                <w:sz w:val="22"/>
                <w:szCs w:val="22"/>
                <w:rtl/>
                <w14:ligatures w14:val="standardContextual"/>
              </w:rPr>
              <w:t>שיר השירים ימשיך בע"ה ללוות אותנו בימים המיוחדים של הלוח העברי הקבוע בתקופה זו, מפסח ועד יום ירושלים, ומשבועות ועד לפסח הבא. כל זה מקבל משמעות עוד יותר חזקה במלחמה החשובה והניסית נגד ציר הרשע הגשמי והרוחני בהנהגת איראן (שחלק חשוב באידאולוגיה שלו היא דיכוי נשים) והצביעות והאנטישמיות שפושה בעולם.</w:t>
            </w:r>
          </w:p>
          <w:p w14:paraId="084472E4" w14:textId="54BFE0C8" w:rsidR="006E4CFA" w:rsidRPr="003A118B" w:rsidRDefault="006E4CFA" w:rsidP="006E4CFA">
            <w:pPr>
              <w:jc w:val="center"/>
              <w:rPr>
                <w:rFonts w:ascii="David" w:hAnsi="David" w:cs="David"/>
                <w:sz w:val="16"/>
                <w:szCs w:val="16"/>
                <w:rtl/>
              </w:rPr>
            </w:pPr>
          </w:p>
          <w:p w14:paraId="2773D01B" w14:textId="690672E4" w:rsidR="009C1995" w:rsidRPr="006E4CFA" w:rsidRDefault="009C1995" w:rsidP="006E76E4">
            <w:pPr>
              <w:jc w:val="center"/>
              <w:rPr>
                <w:rFonts w:ascii="David" w:eastAsia="Calibri" w:hAnsi="David" w:cs="David"/>
                <w:sz w:val="6"/>
                <w:szCs w:val="6"/>
                <w:rtl/>
              </w:rPr>
            </w:pPr>
          </w:p>
          <w:p w14:paraId="706D0C1E" w14:textId="4479BA95" w:rsidR="009C1995" w:rsidRDefault="009C1995" w:rsidP="006E76E4">
            <w:pPr>
              <w:jc w:val="center"/>
              <w:rPr>
                <w:rStyle w:val="Hyperlink"/>
                <w:rFonts w:ascii="David" w:hAnsi="David" w:cs="David"/>
                <w:rtl/>
              </w:rPr>
            </w:pPr>
            <w:r w:rsidRPr="00E57C46">
              <w:rPr>
                <w:rFonts w:ascii="David" w:hAnsi="David" w:cs="David"/>
                <w:noProof/>
                <w:color w:val="0000FF"/>
                <w:rtl/>
              </w:rPr>
              <w:t>(</w:t>
            </w:r>
            <w:hyperlink r:id="rId11"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0F365956" w14:textId="5F6ACBBE" w:rsidR="009C1995" w:rsidRPr="009C1995" w:rsidRDefault="009C1995" w:rsidP="002E79E9">
            <w:pPr>
              <w:rPr>
                <w:rFonts w:ascii="David" w:hAnsi="David" w:cs="David"/>
                <w:color w:val="0000FF"/>
                <w:sz w:val="20"/>
                <w:szCs w:val="20"/>
                <w:u w:val="single"/>
                <w:rtl/>
              </w:rPr>
            </w:pPr>
          </w:p>
        </w:tc>
      </w:tr>
      <w:bookmarkEnd w:id="2"/>
    </w:tbl>
    <w:p w14:paraId="4D640159" w14:textId="19EA46B9" w:rsidR="007B7A4E" w:rsidRPr="00CD712C" w:rsidRDefault="007B7A4E" w:rsidP="002D608A">
      <w:pPr>
        <w:contextualSpacing/>
        <w:jc w:val="center"/>
        <w:rPr>
          <w:rFonts w:ascii="Arial" w:eastAsia="Calibri" w:hAnsi="Arial" w:cs="Arial"/>
          <w:b/>
          <w:bCs/>
          <w:color w:val="C00000"/>
          <w:sz w:val="6"/>
          <w:szCs w:val="6"/>
          <w:rtl/>
        </w:rPr>
      </w:pPr>
    </w:p>
    <w:p w14:paraId="4ED120B5" w14:textId="23566F39" w:rsidR="00C110AA" w:rsidRPr="00C110AA" w:rsidRDefault="00C110AA" w:rsidP="0015428A">
      <w:pPr>
        <w:contextualSpacing/>
        <w:jc w:val="center"/>
        <w:rPr>
          <w:rFonts w:ascii="Arial" w:eastAsia="Calibri" w:hAnsi="Arial" w:cs="Arial"/>
          <w:b/>
          <w:bCs/>
          <w:color w:val="C00000"/>
          <w:sz w:val="6"/>
          <w:szCs w:val="6"/>
          <w:rtl/>
        </w:rPr>
      </w:pPr>
    </w:p>
    <w:tbl>
      <w:tblPr>
        <w:tblpPr w:leftFromText="180" w:rightFromText="180" w:vertAnchor="text" w:horzAnchor="margin" w:tblpY="87"/>
        <w:tblOverlap w:val="never"/>
        <w:bidiVisual/>
        <w:tblW w:w="11043" w:type="dxa"/>
        <w:tblLayout w:type="fixed"/>
        <w:tblCellMar>
          <w:left w:w="0" w:type="dxa"/>
          <w:right w:w="0" w:type="dxa"/>
        </w:tblCellMar>
        <w:tblLook w:val="04A0" w:firstRow="1" w:lastRow="0" w:firstColumn="1" w:lastColumn="0" w:noHBand="0" w:noVBand="1"/>
      </w:tblPr>
      <w:tblGrid>
        <w:gridCol w:w="1820"/>
        <w:gridCol w:w="282"/>
        <w:gridCol w:w="139"/>
        <w:gridCol w:w="709"/>
        <w:gridCol w:w="846"/>
        <w:gridCol w:w="14"/>
        <w:gridCol w:w="134"/>
        <w:gridCol w:w="430"/>
        <w:gridCol w:w="149"/>
        <w:gridCol w:w="553"/>
        <w:gridCol w:w="286"/>
        <w:gridCol w:w="575"/>
        <w:gridCol w:w="138"/>
        <w:gridCol w:w="279"/>
        <w:gridCol w:w="1423"/>
        <w:gridCol w:w="275"/>
        <w:gridCol w:w="144"/>
        <w:gridCol w:w="425"/>
        <w:gridCol w:w="716"/>
        <w:gridCol w:w="1267"/>
        <w:gridCol w:w="148"/>
        <w:gridCol w:w="291"/>
      </w:tblGrid>
      <w:tr w:rsidR="002E79E9" w:rsidRPr="00A6414A" w14:paraId="2506A958" w14:textId="77777777" w:rsidTr="002E79E9">
        <w:trPr>
          <w:trHeight w:val="273"/>
        </w:trPr>
        <w:tc>
          <w:tcPr>
            <w:tcW w:w="3796" w:type="dxa"/>
            <w:gridSpan w:val="5"/>
            <w:tcMar>
              <w:top w:w="0" w:type="dxa"/>
              <w:left w:w="108" w:type="dxa"/>
              <w:bottom w:w="0" w:type="dxa"/>
              <w:right w:w="108" w:type="dxa"/>
            </w:tcMar>
            <w:vAlign w:val="center"/>
          </w:tcPr>
          <w:p w14:paraId="207BD0A3" w14:textId="77777777" w:rsidR="002E79E9" w:rsidRPr="00A6414A" w:rsidRDefault="002E79E9" w:rsidP="002E79E9">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48FFC346" w14:textId="77777777" w:rsidR="002E79E9" w:rsidRPr="00A6414A" w:rsidRDefault="002E79E9" w:rsidP="002E79E9">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16F327E7" w14:textId="77777777" w:rsidR="002E79E9" w:rsidRPr="00A6414A" w:rsidRDefault="002E79E9" w:rsidP="002E79E9">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9" w:type="dxa"/>
            <w:gridSpan w:val="8"/>
            <w:vAlign w:val="center"/>
          </w:tcPr>
          <w:p w14:paraId="094E89BC" w14:textId="77777777" w:rsidR="002E79E9" w:rsidRPr="00A6414A" w:rsidRDefault="002E79E9" w:rsidP="002E79E9">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2E79E9" w:rsidRPr="00A6414A" w14:paraId="669B134A" w14:textId="77777777" w:rsidTr="002E79E9">
        <w:trPr>
          <w:trHeight w:val="273"/>
        </w:trPr>
        <w:tc>
          <w:tcPr>
            <w:tcW w:w="1820" w:type="dxa"/>
            <w:tcMar>
              <w:top w:w="0" w:type="dxa"/>
              <w:left w:w="108" w:type="dxa"/>
              <w:bottom w:w="0" w:type="dxa"/>
              <w:right w:w="108" w:type="dxa"/>
            </w:tcMar>
            <w:vAlign w:val="center"/>
          </w:tcPr>
          <w:p w14:paraId="0B9B69B7" w14:textId="77777777" w:rsidR="002E79E9" w:rsidRPr="00A6414A" w:rsidRDefault="002E79E9" w:rsidP="002E79E9">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643355AA"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8"/>
            <w:vAlign w:val="center"/>
          </w:tcPr>
          <w:p w14:paraId="206A3FD7" w14:textId="77777777" w:rsidR="002E79E9" w:rsidRPr="00A6414A" w:rsidRDefault="002E79E9" w:rsidP="002E79E9">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271FCFDB"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4"/>
            <w:vAlign w:val="center"/>
          </w:tcPr>
          <w:p w14:paraId="0A75D99B" w14:textId="77777777" w:rsidR="002E79E9" w:rsidRPr="00A6414A" w:rsidRDefault="002E79E9" w:rsidP="002E79E9">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6629C900" w14:textId="77777777" w:rsidR="002E79E9" w:rsidRPr="00A6414A" w:rsidRDefault="002E79E9" w:rsidP="002E79E9">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2" w:type="dxa"/>
            <w:gridSpan w:val="2"/>
            <w:vAlign w:val="center"/>
          </w:tcPr>
          <w:p w14:paraId="6C10FFF4"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6338369D"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7E94125A"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1191076D" w14:textId="77777777" w:rsidR="002E79E9" w:rsidRPr="00A6414A" w:rsidRDefault="002E79E9" w:rsidP="002E79E9">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03D6967A"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5A576A6F"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2E79E9" w:rsidRPr="00A6414A" w14:paraId="34229D40" w14:textId="77777777" w:rsidTr="002E79E9">
        <w:trPr>
          <w:trHeight w:val="427"/>
        </w:trPr>
        <w:tc>
          <w:tcPr>
            <w:tcW w:w="2241" w:type="dxa"/>
            <w:gridSpan w:val="3"/>
            <w:tcMar>
              <w:top w:w="0" w:type="dxa"/>
              <w:left w:w="108" w:type="dxa"/>
              <w:bottom w:w="0" w:type="dxa"/>
              <w:right w:w="108" w:type="dxa"/>
            </w:tcMar>
            <w:vAlign w:val="center"/>
            <w:hideMark/>
          </w:tcPr>
          <w:p w14:paraId="663FFE75" w14:textId="77777777" w:rsidR="002E79E9" w:rsidRPr="00A6414A" w:rsidRDefault="002E79E9" w:rsidP="002E79E9">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4011C305"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04735B9B" w14:textId="77777777" w:rsidR="002E79E9" w:rsidRPr="00A6414A" w:rsidRDefault="002E79E9" w:rsidP="002E79E9">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588DF30B" w14:textId="77777777" w:rsidR="002E79E9" w:rsidRPr="00A6414A" w:rsidRDefault="002E79E9" w:rsidP="002E79E9">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3" w:type="dxa"/>
            <w:gridSpan w:val="7"/>
            <w:vAlign w:val="center"/>
            <w:hideMark/>
          </w:tcPr>
          <w:p w14:paraId="58B1CD81" w14:textId="77777777" w:rsidR="002E79E9" w:rsidRPr="00A6414A" w:rsidRDefault="002E79E9" w:rsidP="002E79E9">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3825A5E8"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175A792B" w14:textId="77777777" w:rsidR="002E79E9" w:rsidRPr="00A6414A" w:rsidRDefault="002E79E9" w:rsidP="002E79E9">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04E72FD4"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2E79E9" w:rsidRPr="00A6414A" w14:paraId="1AD6FEC2" w14:textId="77777777" w:rsidTr="002E79E9">
        <w:trPr>
          <w:trHeight w:val="431"/>
        </w:trPr>
        <w:tc>
          <w:tcPr>
            <w:tcW w:w="2102" w:type="dxa"/>
            <w:gridSpan w:val="2"/>
            <w:tcMar>
              <w:top w:w="0" w:type="dxa"/>
              <w:left w:w="108" w:type="dxa"/>
              <w:bottom w:w="0" w:type="dxa"/>
              <w:right w:w="108" w:type="dxa"/>
            </w:tcMar>
            <w:vAlign w:val="center"/>
          </w:tcPr>
          <w:p w14:paraId="2EF773CC"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62220E4" w14:textId="77777777" w:rsidR="002E79E9" w:rsidRPr="00A6414A" w:rsidRDefault="002E79E9" w:rsidP="002E79E9">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4654A51E"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384F4505"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417917B" w14:textId="77777777" w:rsidR="002E79E9" w:rsidRPr="00A6414A" w:rsidRDefault="002E79E9" w:rsidP="002E79E9">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2734EC29"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34549785" w14:textId="77777777" w:rsidR="002E79E9" w:rsidRPr="00A6414A" w:rsidRDefault="002E79E9" w:rsidP="002E79E9">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2C458CC1" w14:textId="77777777" w:rsidR="002E79E9" w:rsidRPr="00A6414A" w:rsidRDefault="002E79E9" w:rsidP="002E79E9">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7" w:type="dxa"/>
            <w:gridSpan w:val="5"/>
            <w:tcMar>
              <w:top w:w="0" w:type="dxa"/>
              <w:left w:w="108" w:type="dxa"/>
              <w:bottom w:w="0" w:type="dxa"/>
              <w:right w:w="108" w:type="dxa"/>
            </w:tcMar>
            <w:vAlign w:val="center"/>
          </w:tcPr>
          <w:p w14:paraId="03358DE0"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389081F9"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2E79E9" w:rsidRPr="00A6414A" w14:paraId="32A2CD81" w14:textId="77777777" w:rsidTr="002E79E9">
        <w:trPr>
          <w:trHeight w:val="453"/>
        </w:trPr>
        <w:tc>
          <w:tcPr>
            <w:tcW w:w="2950" w:type="dxa"/>
            <w:gridSpan w:val="4"/>
            <w:vAlign w:val="center"/>
            <w:hideMark/>
          </w:tcPr>
          <w:p w14:paraId="44F82607" w14:textId="4BA7ECAA" w:rsidR="002E79E9" w:rsidRPr="00A6414A" w:rsidRDefault="004B595A" w:rsidP="002E79E9">
            <w:pPr>
              <w:ind w:left="59" w:hanging="32"/>
              <w:contextualSpacing/>
              <w:jc w:val="center"/>
              <w:rPr>
                <w:rFonts w:ascii="David" w:eastAsia="Calibri" w:hAnsi="David" w:cs="David"/>
                <w:color w:val="000000"/>
                <w:sz w:val="19"/>
                <w:szCs w:val="19"/>
              </w:rPr>
            </w:pPr>
            <w:r w:rsidRPr="00512DD9">
              <w:rPr>
                <w:rFonts w:ascii="David" w:hAnsi="David" w:cs="David"/>
                <w:noProof/>
                <w:sz w:val="10"/>
                <w:szCs w:val="10"/>
                <w:rtl/>
              </w:rPr>
              <w:drawing>
                <wp:anchor distT="0" distB="0" distL="114300" distR="114300" simplePos="0" relativeHeight="252029952" behindDoc="1" locked="0" layoutInCell="1" allowOverlap="1" wp14:anchorId="2E0B0BBA" wp14:editId="2A46976E">
                  <wp:simplePos x="0" y="0"/>
                  <wp:positionH relativeFrom="margin">
                    <wp:posOffset>-5336540</wp:posOffset>
                  </wp:positionH>
                  <wp:positionV relativeFrom="paragraph">
                    <wp:posOffset>-1341120</wp:posOffset>
                  </wp:positionV>
                  <wp:extent cx="7429500" cy="2174875"/>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29500" cy="2174875"/>
                          </a:xfrm>
                          <a:prstGeom prst="rect">
                            <a:avLst/>
                          </a:prstGeom>
                          <a:noFill/>
                        </pic:spPr>
                      </pic:pic>
                    </a:graphicData>
                  </a:graphic>
                  <wp14:sizeRelH relativeFrom="page">
                    <wp14:pctWidth>0</wp14:pctWidth>
                  </wp14:sizeRelH>
                  <wp14:sizeRelV relativeFrom="page">
                    <wp14:pctHeight>0</wp14:pctHeight>
                  </wp14:sizeRelV>
                </wp:anchor>
              </w:drawing>
            </w:r>
            <w:r w:rsidR="002E79E9" w:rsidRPr="00A6414A">
              <w:rPr>
                <w:rFonts w:ascii="David" w:eastAsia="Calibri" w:hAnsi="David" w:cs="David"/>
                <w:color w:val="000000"/>
                <w:sz w:val="19"/>
                <w:szCs w:val="19"/>
                <w:rtl/>
              </w:rPr>
              <w:t xml:space="preserve">ר' </w:t>
            </w:r>
            <w:r w:rsidR="002E79E9" w:rsidRPr="00A6414A">
              <w:rPr>
                <w:rFonts w:ascii="David" w:eastAsia="Calibri" w:hAnsi="David" w:cs="David"/>
                <w:b/>
                <w:bCs/>
                <w:color w:val="002060"/>
                <w:sz w:val="19"/>
                <w:szCs w:val="19"/>
                <w:rtl/>
              </w:rPr>
              <w:t xml:space="preserve">אליהו כרמל </w:t>
            </w:r>
            <w:r w:rsidR="002E79E9" w:rsidRPr="00A6414A">
              <w:rPr>
                <w:rFonts w:ascii="David" w:eastAsia="Calibri" w:hAnsi="David" w:cs="David"/>
                <w:color w:val="000000"/>
                <w:sz w:val="19"/>
                <w:szCs w:val="19"/>
                <w:rtl/>
              </w:rPr>
              <w:t>וגב'</w:t>
            </w:r>
            <w:r w:rsidR="002E79E9" w:rsidRPr="00A6414A">
              <w:rPr>
                <w:rFonts w:ascii="David" w:eastAsia="Calibri" w:hAnsi="David" w:cs="David"/>
                <w:b/>
                <w:bCs/>
                <w:color w:val="000000"/>
                <w:sz w:val="19"/>
                <w:szCs w:val="19"/>
                <w:rtl/>
              </w:rPr>
              <w:t xml:space="preserve"> </w:t>
            </w:r>
            <w:r w:rsidR="002E79E9" w:rsidRPr="00A6414A">
              <w:rPr>
                <w:rFonts w:ascii="David" w:eastAsia="Calibri" w:hAnsi="David" w:cs="David"/>
                <w:b/>
                <w:bCs/>
                <w:color w:val="002060"/>
                <w:sz w:val="19"/>
                <w:szCs w:val="19"/>
                <w:rtl/>
              </w:rPr>
              <w:t xml:space="preserve">מלכה </w:t>
            </w:r>
            <w:proofErr w:type="spellStart"/>
            <w:r w:rsidR="002E79E9" w:rsidRPr="00A6414A">
              <w:rPr>
                <w:rFonts w:ascii="David" w:eastAsia="Calibri" w:hAnsi="David" w:cs="David"/>
                <w:b/>
                <w:bCs/>
                <w:color w:val="002060"/>
                <w:sz w:val="19"/>
                <w:szCs w:val="19"/>
                <w:rtl/>
              </w:rPr>
              <w:t>טויבע</w:t>
            </w:r>
            <w:proofErr w:type="spellEnd"/>
            <w:r w:rsidR="002E79E9" w:rsidRPr="00A6414A">
              <w:rPr>
                <w:rFonts w:ascii="David" w:eastAsia="Calibri" w:hAnsi="David" w:cs="David"/>
                <w:b/>
                <w:bCs/>
                <w:color w:val="002060"/>
                <w:sz w:val="19"/>
                <w:szCs w:val="19"/>
                <w:rtl/>
              </w:rPr>
              <w:t xml:space="preserve"> כרמל</w:t>
            </w:r>
          </w:p>
          <w:p w14:paraId="7ED7B44E" w14:textId="77777777" w:rsidR="002E79E9" w:rsidRPr="00A6414A" w:rsidRDefault="002E79E9" w:rsidP="002E79E9">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342D0567" w14:textId="77777777" w:rsidR="002E79E9" w:rsidRPr="00A6414A" w:rsidRDefault="002E79E9" w:rsidP="002E79E9">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3E351E01" w14:textId="77777777" w:rsidR="002E79E9" w:rsidRPr="00A6414A" w:rsidRDefault="002E79E9" w:rsidP="002E79E9">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16CCE12F" w14:textId="77777777" w:rsidR="002E79E9" w:rsidRPr="00A6414A" w:rsidRDefault="002E79E9" w:rsidP="002E79E9">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E7933A" w14:textId="77777777" w:rsidR="002E79E9" w:rsidRPr="00A6414A" w:rsidRDefault="002E79E9" w:rsidP="002E79E9">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1" w:type="dxa"/>
            <w:gridSpan w:val="6"/>
            <w:vAlign w:val="center"/>
          </w:tcPr>
          <w:p w14:paraId="669DF8A2" w14:textId="77777777" w:rsidR="00CF1BFE" w:rsidRPr="00CF1BFE" w:rsidRDefault="00CF1BFE" w:rsidP="00CF1BFE">
            <w:pPr>
              <w:ind w:left="59" w:right="72"/>
              <w:jc w:val="center"/>
              <w:rPr>
                <w:rFonts w:ascii="Arial" w:hAnsi="Arial" w:cs="David"/>
                <w:sz w:val="19"/>
                <w:szCs w:val="19"/>
                <w:rtl/>
              </w:rPr>
            </w:pPr>
            <w:r w:rsidRPr="00CF1BFE">
              <w:rPr>
                <w:rFonts w:ascii="David" w:eastAsia="Calibri" w:hAnsi="David" w:cs="David"/>
                <w:b/>
                <w:bCs/>
                <w:color w:val="002060"/>
                <w:sz w:val="19"/>
                <w:szCs w:val="19"/>
                <w:rtl/>
              </w:rPr>
              <w:t>צפורה</w:t>
            </w:r>
            <w:r w:rsidRPr="00CF1BFE">
              <w:rPr>
                <w:rFonts w:ascii="David" w:eastAsia="Calibri" w:hAnsi="David" w:cs="David"/>
                <w:color w:val="000000"/>
                <w:sz w:val="19"/>
                <w:szCs w:val="19"/>
                <w:rtl/>
              </w:rPr>
              <w:t xml:space="preserve"> </w:t>
            </w:r>
            <w:r w:rsidRPr="00CF1BFE">
              <w:rPr>
                <w:rFonts w:ascii="Arial" w:hAnsi="Arial" w:cs="David"/>
                <w:sz w:val="19"/>
                <w:szCs w:val="19"/>
                <w:rtl/>
              </w:rPr>
              <w:t xml:space="preserve">בת </w:t>
            </w:r>
            <w:r w:rsidRPr="00CF1BFE">
              <w:rPr>
                <w:rFonts w:ascii="David" w:eastAsia="Calibri" w:hAnsi="David" w:cs="David"/>
                <w:b/>
                <w:bCs/>
                <w:color w:val="002060"/>
                <w:sz w:val="19"/>
                <w:szCs w:val="19"/>
                <w:rtl/>
              </w:rPr>
              <w:t xml:space="preserve">יונה </w:t>
            </w:r>
            <w:proofErr w:type="spellStart"/>
            <w:r w:rsidRPr="00CF1BFE">
              <w:rPr>
                <w:rFonts w:ascii="David" w:eastAsia="Calibri" w:hAnsi="David" w:cs="David"/>
                <w:b/>
                <w:bCs/>
                <w:color w:val="002060"/>
                <w:sz w:val="19"/>
                <w:szCs w:val="19"/>
                <w:rtl/>
              </w:rPr>
              <w:t>דונייר</w:t>
            </w:r>
            <w:proofErr w:type="spellEnd"/>
            <w:r w:rsidRPr="00CF1BFE">
              <w:rPr>
                <w:rFonts w:ascii="Arial" w:hAnsi="Arial" w:cs="David"/>
                <w:sz w:val="19"/>
                <w:szCs w:val="19"/>
                <w:rtl/>
              </w:rPr>
              <w:t xml:space="preserve"> ע"ה</w:t>
            </w:r>
          </w:p>
          <w:p w14:paraId="2BE95D08" w14:textId="1B505DA4" w:rsidR="002E79E9" w:rsidRPr="00CF1BFE" w:rsidRDefault="00CF1BFE" w:rsidP="00CF1BFE">
            <w:pPr>
              <w:ind w:left="59" w:right="72"/>
              <w:jc w:val="center"/>
              <w:rPr>
                <w:rFonts w:ascii="Arial" w:hAnsi="Arial" w:cs="David"/>
                <w:sz w:val="19"/>
                <w:szCs w:val="19"/>
                <w:rtl/>
              </w:rPr>
            </w:pPr>
            <w:r w:rsidRPr="00CF1BFE">
              <w:rPr>
                <w:rFonts w:ascii="David" w:eastAsia="Calibri" w:hAnsi="David" w:cs="David"/>
                <w:color w:val="000000"/>
                <w:sz w:val="19"/>
                <w:szCs w:val="19"/>
                <w:rtl/>
              </w:rPr>
              <w:t>נלב"ע י"ב אדר א'</w:t>
            </w:r>
          </w:p>
        </w:tc>
      </w:tr>
      <w:tr w:rsidR="002E79E9" w:rsidRPr="00A6414A" w14:paraId="712471CF" w14:textId="77777777" w:rsidTr="009A233F">
        <w:trPr>
          <w:trHeight w:val="404"/>
        </w:trPr>
        <w:tc>
          <w:tcPr>
            <w:tcW w:w="2102" w:type="dxa"/>
            <w:gridSpan w:val="2"/>
            <w:vAlign w:val="center"/>
          </w:tcPr>
          <w:p w14:paraId="2AB2A049" w14:textId="0AA05BA4" w:rsidR="002E79E9" w:rsidRPr="00A6414A" w:rsidRDefault="002E79E9" w:rsidP="002E79E9">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21BBE2DE" w14:textId="77777777" w:rsidR="002E79E9" w:rsidRPr="00A6414A" w:rsidRDefault="002E79E9" w:rsidP="002E79E9">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708" w:type="dxa"/>
            <w:gridSpan w:val="4"/>
            <w:vAlign w:val="center"/>
          </w:tcPr>
          <w:p w14:paraId="3FFB2A07" w14:textId="77777777" w:rsidR="002E79E9" w:rsidRPr="00A6414A" w:rsidRDefault="002E79E9" w:rsidP="002E79E9">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881E0B" w14:textId="77777777" w:rsidR="002E79E9" w:rsidRPr="00A6414A" w:rsidRDefault="002E79E9" w:rsidP="002E79E9">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2127" w:type="dxa"/>
            <w:gridSpan w:val="6"/>
            <w:vAlign w:val="center"/>
          </w:tcPr>
          <w:p w14:paraId="7DF55B1E" w14:textId="77777777" w:rsidR="002E79E9" w:rsidRPr="00A6414A" w:rsidRDefault="002E79E9" w:rsidP="002E79E9">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48B586E8" w14:textId="77777777" w:rsidR="002E79E9" w:rsidRPr="00A6414A" w:rsidRDefault="002E79E9" w:rsidP="002E79E9">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2684" w:type="dxa"/>
            <w:gridSpan w:val="6"/>
            <w:vAlign w:val="center"/>
          </w:tcPr>
          <w:p w14:paraId="5D7AB7A7" w14:textId="77777777" w:rsidR="00B24119" w:rsidRPr="00B24119" w:rsidRDefault="00B24119" w:rsidP="00B24119">
            <w:pPr>
              <w:contextualSpacing/>
              <w:jc w:val="center"/>
              <w:rPr>
                <w:rFonts w:ascii="David" w:eastAsia="Calibri" w:hAnsi="David" w:cs="David"/>
                <w:b/>
                <w:bCs/>
                <w:color w:val="002060"/>
                <w:sz w:val="19"/>
                <w:szCs w:val="19"/>
                <w:rtl/>
              </w:rPr>
            </w:pPr>
            <w:r w:rsidRPr="00B24119">
              <w:rPr>
                <w:rFonts w:ascii="David" w:eastAsia="Calibri" w:hAnsi="David" w:cs="David"/>
                <w:b/>
                <w:bCs/>
                <w:color w:val="002060"/>
                <w:sz w:val="19"/>
                <w:szCs w:val="19"/>
                <w:rtl/>
              </w:rPr>
              <w:t>הרב יוסף מרדכי</w:t>
            </w:r>
            <w:r w:rsidRPr="00B24119">
              <w:rPr>
                <w:rFonts w:ascii="David" w:eastAsia="Calibri" w:hAnsi="David" w:cs="David"/>
                <w:b/>
                <w:bCs/>
                <w:color w:val="002060"/>
                <w:sz w:val="19"/>
                <w:szCs w:val="19"/>
              </w:rPr>
              <w:t xml:space="preserve"> </w:t>
            </w:r>
            <w:r w:rsidRPr="00B24119">
              <w:rPr>
                <w:rFonts w:ascii="David" w:eastAsia="Calibri" w:hAnsi="David" w:cs="David"/>
                <w:b/>
                <w:bCs/>
                <w:color w:val="002060"/>
                <w:sz w:val="19"/>
                <w:szCs w:val="19"/>
                <w:rtl/>
              </w:rPr>
              <w:t>שמחה שטרן</w:t>
            </w:r>
          </w:p>
          <w:p w14:paraId="234B7BA8" w14:textId="47E46612" w:rsidR="002E79E9" w:rsidRPr="00B24119" w:rsidRDefault="00B24119" w:rsidP="00B24119">
            <w:pPr>
              <w:jc w:val="center"/>
              <w:rPr>
                <w:rFonts w:cs="David"/>
                <w:noProof/>
                <w:sz w:val="19"/>
                <w:szCs w:val="19"/>
                <w:rtl/>
                <w:lang w:eastAsia="he-IL"/>
              </w:rPr>
            </w:pPr>
            <w:r w:rsidRPr="00B24119">
              <w:rPr>
                <w:rFonts w:ascii="Calibri" w:eastAsia="Calibri" w:hAnsi="Calibri" w:cs="David"/>
                <w:sz w:val="19"/>
                <w:szCs w:val="19"/>
                <w:rtl/>
              </w:rPr>
              <w:t>נלב"ע כ"א באדר א' תשע"ד</w:t>
            </w:r>
          </w:p>
        </w:tc>
        <w:tc>
          <w:tcPr>
            <w:tcW w:w="1983" w:type="dxa"/>
            <w:gridSpan w:val="2"/>
            <w:vAlign w:val="center"/>
          </w:tcPr>
          <w:p w14:paraId="21D3A8AF" w14:textId="77777777" w:rsidR="002E79E9" w:rsidRPr="00A6414A" w:rsidRDefault="002E79E9" w:rsidP="002E79E9">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4FFB1472" w14:textId="77777777" w:rsidR="002E79E9" w:rsidRPr="00A6414A" w:rsidRDefault="002E79E9" w:rsidP="002E79E9">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6E4C2F34" w14:textId="77777777" w:rsidR="002E79E9" w:rsidRPr="00A6414A" w:rsidRDefault="002E79E9" w:rsidP="002E79E9">
            <w:pPr>
              <w:ind w:left="26" w:right="41"/>
              <w:contextualSpacing/>
              <w:jc w:val="center"/>
              <w:rPr>
                <w:rFonts w:ascii="David" w:eastAsia="Calibri" w:hAnsi="David" w:cs="David"/>
                <w:color w:val="002060"/>
                <w:sz w:val="19"/>
                <w:szCs w:val="19"/>
                <w:rtl/>
              </w:rPr>
            </w:pPr>
          </w:p>
        </w:tc>
        <w:tc>
          <w:tcPr>
            <w:tcW w:w="291" w:type="dxa"/>
            <w:vAlign w:val="center"/>
          </w:tcPr>
          <w:p w14:paraId="7BBBDD44" w14:textId="77777777" w:rsidR="002E79E9" w:rsidRPr="00A6414A" w:rsidRDefault="002E79E9" w:rsidP="002E79E9">
            <w:pPr>
              <w:ind w:right="-57"/>
              <w:contextualSpacing/>
              <w:jc w:val="center"/>
              <w:rPr>
                <w:sz w:val="19"/>
                <w:szCs w:val="19"/>
                <w:rtl/>
              </w:rPr>
            </w:pPr>
          </w:p>
        </w:tc>
      </w:tr>
      <w:bookmarkEnd w:id="3"/>
    </w:tbl>
    <w:p w14:paraId="02D9354C" w14:textId="47C06B31" w:rsidR="009C1995" w:rsidRDefault="009C1995" w:rsidP="0015428A">
      <w:pPr>
        <w:contextualSpacing/>
        <w:jc w:val="center"/>
        <w:rPr>
          <w:rFonts w:ascii="Arial" w:eastAsia="Calibri" w:hAnsi="Arial" w:cs="Arial"/>
          <w:b/>
          <w:bCs/>
          <w:color w:val="C00000"/>
          <w:sz w:val="17"/>
          <w:szCs w:val="17"/>
          <w:rtl/>
        </w:rPr>
      </w:pPr>
    </w:p>
    <w:p w14:paraId="641660B4" w14:textId="3C9CB104" w:rsidR="002E79E9" w:rsidRPr="006E4CFA" w:rsidRDefault="002E79E9" w:rsidP="0015428A">
      <w:pPr>
        <w:contextualSpacing/>
        <w:jc w:val="center"/>
        <w:rPr>
          <w:rFonts w:ascii="Arial" w:eastAsia="Calibri" w:hAnsi="Arial" w:cs="Arial"/>
          <w:b/>
          <w:bCs/>
          <w:color w:val="C00000"/>
          <w:sz w:val="12"/>
          <w:szCs w:val="12"/>
          <w:rtl/>
        </w:rPr>
      </w:pPr>
    </w:p>
    <w:p w14:paraId="585DB8BA" w14:textId="22DDCAA3" w:rsidR="0015428A" w:rsidRPr="00C87E8A" w:rsidRDefault="0015428A" w:rsidP="0015428A">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15428A">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4D391B7D" w:rsidR="00AF0507" w:rsidRDefault="003A118B" w:rsidP="00AF0507">
      <w:pPr>
        <w:pStyle w:val="aff7"/>
        <w:spacing w:after="0" w:line="240" w:lineRule="auto"/>
        <w:jc w:val="center"/>
        <w:rPr>
          <w:rFonts w:ascii="Arial" w:eastAsia="Calibri" w:hAnsi="Arial"/>
          <w:color w:val="0070C0"/>
          <w:sz w:val="17"/>
          <w:szCs w:val="17"/>
          <w:rtl/>
        </w:rPr>
      </w:pPr>
      <w:hyperlink r:id="rId13"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4" w:history="1">
        <w:r w:rsidR="00AF0507" w:rsidRPr="00CD712C">
          <w:rPr>
            <w:rStyle w:val="Hyperlink"/>
            <w:rFonts w:ascii="FrankRuehl" w:eastAsia="Calibri" w:hAnsi="FrankRuehl" w:cs="FrankRuehl"/>
            <w:sz w:val="17"/>
            <w:szCs w:val="17"/>
          </w:rPr>
          <w:t>WWW.ERETZHEMDAH.ORG</w:t>
        </w:r>
      </w:hyperlink>
    </w:p>
    <w:p w14:paraId="1FDB64BF" w14:textId="03749B05" w:rsidR="001039C7" w:rsidRDefault="00F72641" w:rsidP="00E60A67">
      <w:pPr>
        <w:contextualSpacing/>
        <w:rPr>
          <w:rFonts w:ascii="Calibri" w:eastAsia="Calibri" w:hAnsi="Calibri" w:cs="David"/>
          <w:b/>
          <w:bCs/>
          <w:sz w:val="28"/>
          <w:szCs w:val="28"/>
        </w:rPr>
      </w:pPr>
      <w:r>
        <w:rPr>
          <w:noProof/>
          <w:rtl/>
          <w:lang w:val="he-IL"/>
        </w:rPr>
        <w:lastRenderedPageBreak/>
        <w:drawing>
          <wp:anchor distT="0" distB="0" distL="114300" distR="114300" simplePos="0" relativeHeight="252033024" behindDoc="1" locked="0" layoutInCell="1" allowOverlap="1" wp14:anchorId="2B6BD10E" wp14:editId="4A7AA0E6">
            <wp:simplePos x="0" y="0"/>
            <wp:positionH relativeFrom="column">
              <wp:posOffset>4271010</wp:posOffset>
            </wp:positionH>
            <wp:positionV relativeFrom="paragraph">
              <wp:posOffset>-34290</wp:posOffset>
            </wp:positionV>
            <wp:extent cx="2749302" cy="530353"/>
            <wp:effectExtent l="0" t="0" r="0" b="0"/>
            <wp:wrapNone/>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תמונה 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9302" cy="530353"/>
                    </a:xfrm>
                    <a:prstGeom prst="rect">
                      <a:avLst/>
                    </a:prstGeom>
                  </pic:spPr>
                </pic:pic>
              </a:graphicData>
            </a:graphic>
            <wp14:sizeRelH relativeFrom="page">
              <wp14:pctWidth>0</wp14:pctWidth>
            </wp14:sizeRelH>
            <wp14:sizeRelV relativeFrom="page">
              <wp14:pctHeight>0</wp14:pctHeight>
            </wp14:sizeRelV>
          </wp:anchor>
        </w:drawing>
      </w:r>
    </w:p>
    <w:p w14:paraId="5A37EAD5" w14:textId="77777777" w:rsidR="00F72641" w:rsidRDefault="00F72641" w:rsidP="001039C7">
      <w:pPr>
        <w:contextualSpacing/>
        <w:rPr>
          <w:rFonts w:ascii="Calibri" w:eastAsia="Calibri" w:hAnsi="Calibri" w:cs="David"/>
          <w:b/>
          <w:bCs/>
          <w:sz w:val="28"/>
          <w:szCs w:val="28"/>
          <w:rtl/>
        </w:rPr>
      </w:pPr>
    </w:p>
    <w:p w14:paraId="546793B2" w14:textId="77777777" w:rsidR="00F72641" w:rsidRPr="00F72641" w:rsidRDefault="00F72641" w:rsidP="001039C7">
      <w:pPr>
        <w:contextualSpacing/>
        <w:rPr>
          <w:rFonts w:ascii="Calibri" w:eastAsia="Calibri" w:hAnsi="Calibri" w:cs="David"/>
          <w:sz w:val="20"/>
          <w:szCs w:val="20"/>
          <w:rtl/>
        </w:rPr>
      </w:pPr>
    </w:p>
    <w:p w14:paraId="7A42E887" w14:textId="2E38CEF0"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5E24E0" w:rsidRDefault="003A70F2" w:rsidP="005E3AFB">
      <w:pPr>
        <w:contextualSpacing/>
        <w:jc w:val="right"/>
        <w:rPr>
          <w:rFonts w:ascii="David" w:eastAsia="Calibri" w:hAnsi="David" w:cs="David"/>
          <w:b/>
          <w:bCs/>
          <w:color w:val="0070C0"/>
          <w:sz w:val="22"/>
          <w:szCs w:val="22"/>
          <w:rtl/>
        </w:rPr>
      </w:pPr>
      <w:r w:rsidRPr="005E24E0">
        <w:rPr>
          <w:rFonts w:ascii="David" w:eastAsia="Calibri" w:hAnsi="David" w:cs="David" w:hint="cs"/>
          <w:b/>
          <w:bCs/>
          <w:color w:val="0070C0"/>
          <w:sz w:val="22"/>
          <w:szCs w:val="22"/>
          <w:rtl/>
        </w:rPr>
        <w:t>לע"נ מורנו הרב ארנרייך זצ"ל</w:t>
      </w:r>
      <w:r w:rsidR="00B42B24" w:rsidRPr="005E24E0">
        <w:rPr>
          <w:rFonts w:ascii="David" w:eastAsia="Calibri" w:hAnsi="David" w:cs="David" w:hint="cs"/>
          <w:b/>
          <w:bCs/>
          <w:color w:val="0070C0"/>
          <w:sz w:val="22"/>
          <w:szCs w:val="22"/>
          <w:rtl/>
        </w:rPr>
        <w:t xml:space="preserve">, </w:t>
      </w:r>
      <w:r w:rsidRPr="005E24E0">
        <w:rPr>
          <w:rFonts w:ascii="David" w:eastAsia="Calibri" w:hAnsi="David" w:cs="David" w:hint="cs"/>
          <w:b/>
          <w:bCs/>
          <w:color w:val="0070C0"/>
          <w:sz w:val="22"/>
          <w:szCs w:val="22"/>
          <w:rtl/>
        </w:rPr>
        <w:t xml:space="preserve">ממנו למדנו להרגיש את </w:t>
      </w:r>
      <w:proofErr w:type="spellStart"/>
      <w:r w:rsidRPr="005E24E0">
        <w:rPr>
          <w:rFonts w:ascii="David" w:eastAsia="Calibri" w:hAnsi="David" w:cs="David" w:hint="cs"/>
          <w:b/>
          <w:bCs/>
          <w:color w:val="0070C0"/>
          <w:sz w:val="22"/>
          <w:szCs w:val="22"/>
          <w:rtl/>
        </w:rPr>
        <w:t>הסברא</w:t>
      </w:r>
      <w:proofErr w:type="spellEnd"/>
      <w:r w:rsidRPr="005E24E0">
        <w:rPr>
          <w:rFonts w:ascii="David" w:eastAsia="Calibri" w:hAnsi="David" w:cs="David" w:hint="cs"/>
          <w:b/>
          <w:bCs/>
          <w:color w:val="0070C0"/>
          <w:sz w:val="22"/>
          <w:szCs w:val="22"/>
          <w:rtl/>
        </w:rPr>
        <w:t xml:space="preserve"> ולהתרגש מהבנת התורה</w:t>
      </w:r>
    </w:p>
    <w:p w14:paraId="09B9664C" w14:textId="60FBCB51" w:rsidR="00612652" w:rsidRPr="006B1D3B" w:rsidRDefault="00612652" w:rsidP="002D608A">
      <w:pPr>
        <w:contextualSpacing/>
        <w:rPr>
          <w:rFonts w:ascii="David" w:eastAsia="Calibri" w:hAnsi="David" w:cs="David"/>
          <w:sz w:val="10"/>
          <w:szCs w:val="10"/>
          <w:rtl/>
        </w:rPr>
      </w:pPr>
    </w:p>
    <w:p w14:paraId="469BD160" w14:textId="77777777" w:rsidR="00EF51B7" w:rsidRPr="00EF51B7" w:rsidRDefault="00EF51B7" w:rsidP="00EF51B7">
      <w:pPr>
        <w:keepNext/>
        <w:keepLines/>
        <w:contextualSpacing/>
        <w:outlineLvl w:val="0"/>
        <w:rPr>
          <w:rFonts w:ascii="David" w:hAnsi="David" w:cs="David"/>
          <w:b/>
          <w:bCs/>
          <w:color w:val="0070C0"/>
          <w:sz w:val="32"/>
          <w:szCs w:val="32"/>
          <w:rtl/>
        </w:rPr>
      </w:pPr>
      <w:bookmarkStart w:id="4" w:name="_Hlk208479624"/>
      <w:bookmarkStart w:id="5" w:name="_Hlk208479582"/>
      <w:r w:rsidRPr="00EF51B7">
        <w:rPr>
          <w:rFonts w:ascii="David" w:hAnsi="David" w:cs="David" w:hint="cs"/>
          <w:b/>
          <w:bCs/>
          <w:color w:val="0070C0"/>
          <w:sz w:val="32"/>
          <w:szCs w:val="32"/>
          <w:rtl/>
        </w:rPr>
        <w:t>מספר השלכות להגדרת חתיכה נעשית נבלה</w:t>
      </w:r>
    </w:p>
    <w:p w14:paraId="62BC21D8" w14:textId="77777777" w:rsidR="00EF51B7" w:rsidRPr="00EF51B7" w:rsidRDefault="00EF51B7" w:rsidP="00963570">
      <w:pPr>
        <w:contextualSpacing/>
        <w:rPr>
          <w:rFonts w:ascii="David" w:hAnsi="David" w:cs="David"/>
          <w:rtl/>
        </w:rPr>
      </w:pPr>
    </w:p>
    <w:p w14:paraId="666B50BB" w14:textId="77777777" w:rsidR="00EF51B7" w:rsidRPr="00EF51B7" w:rsidRDefault="00EF51B7" w:rsidP="00963570">
      <w:pPr>
        <w:contextualSpacing/>
        <w:rPr>
          <w:rFonts w:ascii="David" w:hAnsi="David" w:cs="David"/>
          <w:rtl/>
        </w:rPr>
      </w:pPr>
      <w:r w:rsidRPr="00EF51B7">
        <w:rPr>
          <w:rFonts w:ascii="David" w:hAnsi="David" w:cs="David" w:hint="cs"/>
          <w:rtl/>
        </w:rPr>
        <w:t>אנו נמצאים באמצע בירור המשמעות ההלכתית של מאכל אסור האוסר מאכל הכשר לאכילה. הלכתית אנו אומרים שהטעם האסור נכנס למאכל ואסר אותו. עמדנו על שיטות ראשונים שונות באשר ליחס לחתיכה החדשה. נסכם את שלושת השיטות המרכזיות שלמדנו:</w:t>
      </w:r>
    </w:p>
    <w:p w14:paraId="3E04FA0A" w14:textId="77777777" w:rsidR="00EF51B7" w:rsidRPr="00EF51B7" w:rsidRDefault="00EF51B7" w:rsidP="00963570">
      <w:pPr>
        <w:numPr>
          <w:ilvl w:val="0"/>
          <w:numId w:val="31"/>
        </w:numPr>
        <w:contextualSpacing/>
        <w:rPr>
          <w:rFonts w:ascii="David" w:hAnsi="David" w:cs="David"/>
        </w:rPr>
      </w:pPr>
      <w:r w:rsidRPr="00EF51B7">
        <w:rPr>
          <w:rFonts w:ascii="David" w:hAnsi="David" w:cs="David" w:hint="cs"/>
          <w:rtl/>
        </w:rPr>
        <w:t xml:space="preserve">רש"י, </w:t>
      </w:r>
      <w:proofErr w:type="spellStart"/>
      <w:r w:rsidRPr="00EF51B7">
        <w:rPr>
          <w:rFonts w:ascii="David" w:hAnsi="David" w:cs="David" w:hint="cs"/>
          <w:rtl/>
        </w:rPr>
        <w:t>רא"ה</w:t>
      </w:r>
      <w:proofErr w:type="spellEnd"/>
      <w:r w:rsidRPr="00EF51B7">
        <w:rPr>
          <w:rFonts w:ascii="David" w:hAnsi="David" w:cs="David" w:hint="cs"/>
          <w:rtl/>
        </w:rPr>
        <w:t xml:space="preserve">: ברוב האיסורים, משעה שהאיסור נבלע במאכל, הוא נאסר. גם אם נסחט את האיסור, המאכל יישאר באיסורו. החתיכה המותרת 'נעשתה נבלה'. לעומת זאת, ביחס לבשר וחלב יש חידוש גדול יותר. אין כאן מרכיב 'אסור' </w:t>
      </w:r>
      <w:r w:rsidRPr="00EF51B7">
        <w:rPr>
          <w:rFonts w:ascii="David" w:hAnsi="David" w:cs="David"/>
          <w:rtl/>
        </w:rPr>
        <w:t>–</w:t>
      </w:r>
      <w:r w:rsidRPr="00EF51B7">
        <w:rPr>
          <w:rFonts w:ascii="David" w:hAnsi="David" w:cs="David" w:hint="cs"/>
          <w:rtl/>
        </w:rPr>
        <w:t xml:space="preserve"> המפגש ביניהם הוא האסור. לכן בגמרא יש הווה </w:t>
      </w:r>
      <w:proofErr w:type="spellStart"/>
      <w:r w:rsidRPr="00EF51B7">
        <w:rPr>
          <w:rFonts w:ascii="David" w:hAnsi="David" w:cs="David" w:hint="cs"/>
          <w:rtl/>
        </w:rPr>
        <w:t>אמינא</w:t>
      </w:r>
      <w:proofErr w:type="spellEnd"/>
      <w:r w:rsidRPr="00EF51B7">
        <w:rPr>
          <w:rFonts w:ascii="David" w:hAnsi="David" w:cs="David" w:hint="cs"/>
          <w:rtl/>
        </w:rPr>
        <w:t xml:space="preserve"> שדווקא במידה ונוכל להפריד את החלב והבשר זה מזה כל מרכיב ישוב להיתרו.</w:t>
      </w:r>
    </w:p>
    <w:p w14:paraId="5FF91EE2" w14:textId="77777777" w:rsidR="00EF51B7" w:rsidRPr="00EF51B7" w:rsidRDefault="00EF51B7" w:rsidP="00963570">
      <w:pPr>
        <w:numPr>
          <w:ilvl w:val="0"/>
          <w:numId w:val="31"/>
        </w:numPr>
        <w:contextualSpacing/>
        <w:rPr>
          <w:rFonts w:ascii="David" w:hAnsi="David" w:cs="David"/>
        </w:rPr>
      </w:pPr>
      <w:proofErr w:type="spellStart"/>
      <w:r w:rsidRPr="00EF51B7">
        <w:rPr>
          <w:rFonts w:ascii="David" w:hAnsi="David" w:cs="David" w:hint="cs"/>
          <w:rtl/>
        </w:rPr>
        <w:t>ר"ן</w:t>
      </w:r>
      <w:proofErr w:type="spellEnd"/>
      <w:r w:rsidRPr="00EF51B7">
        <w:rPr>
          <w:rFonts w:ascii="David" w:hAnsi="David" w:cs="David" w:hint="cs"/>
          <w:rtl/>
        </w:rPr>
        <w:t xml:space="preserve"> </w:t>
      </w:r>
      <w:proofErr w:type="spellStart"/>
      <w:r w:rsidRPr="00EF51B7">
        <w:rPr>
          <w:rFonts w:ascii="David" w:hAnsi="David" w:cs="David" w:hint="cs"/>
          <w:rtl/>
        </w:rPr>
        <w:t>ורשב"א</w:t>
      </w:r>
      <w:proofErr w:type="spellEnd"/>
      <w:r w:rsidRPr="00EF51B7">
        <w:rPr>
          <w:rFonts w:ascii="David" w:hAnsi="David" w:cs="David" w:hint="cs"/>
          <w:rtl/>
        </w:rPr>
        <w:t xml:space="preserve">: ביחס לבשר בחלב, כל מרכיב מותר בפני עצמו, ורק המפגש ביניהם מייצר איסור. לכן גם אם נשוב ונפריד אותם, כל מרכיב כבר נאסר ולא ישוב להיתרו. אך ביחס לשאר איסורים, מבחינה עקרונית אם נוכל להפריד את המרכיב האסור מן המאכל, אין סיבה שהוא יעמוד באיסורו. לכן </w:t>
      </w:r>
      <w:proofErr w:type="spellStart"/>
      <w:r w:rsidRPr="00EF51B7">
        <w:rPr>
          <w:rFonts w:ascii="David" w:hAnsi="David" w:cs="David" w:hint="cs"/>
          <w:rtl/>
        </w:rPr>
        <w:t>הר"ן</w:t>
      </w:r>
      <w:proofErr w:type="spellEnd"/>
      <w:r w:rsidRPr="00EF51B7">
        <w:rPr>
          <w:rFonts w:ascii="David" w:hAnsi="David" w:cs="David" w:hint="cs"/>
          <w:rtl/>
        </w:rPr>
        <w:t xml:space="preserve"> </w:t>
      </w:r>
      <w:proofErr w:type="spellStart"/>
      <w:r w:rsidRPr="00EF51B7">
        <w:rPr>
          <w:rFonts w:ascii="David" w:hAnsi="David" w:cs="David" w:hint="cs"/>
          <w:rtl/>
        </w:rPr>
        <w:t>והרשב"א</w:t>
      </w:r>
      <w:proofErr w:type="spellEnd"/>
      <w:r w:rsidRPr="00EF51B7">
        <w:rPr>
          <w:rFonts w:ascii="David" w:hAnsi="David" w:cs="David" w:hint="cs"/>
          <w:rtl/>
        </w:rPr>
        <w:t xml:space="preserve"> חולקים: לפי </w:t>
      </w:r>
      <w:proofErr w:type="spellStart"/>
      <w:r w:rsidRPr="00EF51B7">
        <w:rPr>
          <w:rFonts w:ascii="David" w:hAnsi="David" w:cs="David" w:hint="cs"/>
          <w:rtl/>
        </w:rPr>
        <w:t>הרשב"א</w:t>
      </w:r>
      <w:proofErr w:type="spellEnd"/>
      <w:r w:rsidRPr="00EF51B7">
        <w:rPr>
          <w:rFonts w:ascii="David" w:hAnsi="David" w:cs="David" w:hint="cs"/>
          <w:rtl/>
        </w:rPr>
        <w:t xml:space="preserve"> לא נאמר שהחתיכה עצמה נעשתה נבלה בשאר האיסורים, ואילו לפי </w:t>
      </w:r>
      <w:proofErr w:type="spellStart"/>
      <w:r w:rsidRPr="00EF51B7">
        <w:rPr>
          <w:rFonts w:ascii="David" w:hAnsi="David" w:cs="David" w:hint="cs"/>
          <w:rtl/>
        </w:rPr>
        <w:t>הר"ן</w:t>
      </w:r>
      <w:proofErr w:type="spellEnd"/>
      <w:r w:rsidRPr="00EF51B7">
        <w:rPr>
          <w:rFonts w:ascii="David" w:hAnsi="David" w:cs="David" w:hint="cs"/>
          <w:rtl/>
        </w:rPr>
        <w:t xml:space="preserve"> חז"ל תיקנו להתייחס לשאר האיסורים כמו שאנו מתייחסים לבשר בחלב.</w:t>
      </w:r>
    </w:p>
    <w:p w14:paraId="7322A85A" w14:textId="77777777" w:rsidR="00EF51B7" w:rsidRPr="00EF51B7" w:rsidRDefault="00EF51B7" w:rsidP="00963570">
      <w:pPr>
        <w:numPr>
          <w:ilvl w:val="0"/>
          <w:numId w:val="31"/>
        </w:numPr>
        <w:contextualSpacing/>
        <w:rPr>
          <w:rFonts w:ascii="David" w:hAnsi="David" w:cs="David"/>
          <w:rtl/>
        </w:rPr>
      </w:pPr>
      <w:r w:rsidRPr="00EF51B7">
        <w:rPr>
          <w:rFonts w:ascii="David" w:hAnsi="David" w:cs="David" w:hint="cs"/>
          <w:rtl/>
        </w:rPr>
        <w:t xml:space="preserve">מאירי: אם טכנית ניתן להפליט את האיסור לחלוטין מן ההיתר, אנו נתייחס לאיסור כבלוע בלבד. יש לכך שתי השלכות: 1. כאשר נפריד את האיסור, המאכל ישוב להיתרו. 2. גם בזמן שהאיסור עדיין מעורב, נתייחס רק למרכיב האיסור שבתוך ההיתר כאסור. אך מכיוון שהגמרא מכריעה שלא ניתן לסמוך על היכולת לגרום לאיסור </w:t>
      </w:r>
      <w:proofErr w:type="spellStart"/>
      <w:r w:rsidRPr="00EF51B7">
        <w:rPr>
          <w:rFonts w:ascii="David" w:hAnsi="David" w:cs="David" w:hint="cs"/>
          <w:rtl/>
        </w:rPr>
        <w:t>להפלט</w:t>
      </w:r>
      <w:proofErr w:type="spellEnd"/>
      <w:r w:rsidRPr="00EF51B7">
        <w:rPr>
          <w:rFonts w:ascii="David" w:hAnsi="David" w:cs="David" w:hint="cs"/>
          <w:rtl/>
        </w:rPr>
        <w:t xml:space="preserve"> בשלמות, אנו מתייחסים לחתיכה כולה כאיסור עצמאי.</w:t>
      </w:r>
    </w:p>
    <w:p w14:paraId="13A18640" w14:textId="77777777" w:rsidR="00EF51B7" w:rsidRPr="00EF51B7" w:rsidRDefault="00EF51B7" w:rsidP="00963570">
      <w:pPr>
        <w:contextualSpacing/>
        <w:rPr>
          <w:rFonts w:ascii="David" w:hAnsi="David" w:cs="David"/>
          <w:rtl/>
        </w:rPr>
      </w:pPr>
    </w:p>
    <w:p w14:paraId="36A7FAF9" w14:textId="77777777" w:rsidR="00EF51B7" w:rsidRPr="00EF51B7" w:rsidRDefault="00EF51B7" w:rsidP="00963570">
      <w:pPr>
        <w:contextualSpacing/>
        <w:rPr>
          <w:rFonts w:ascii="David" w:hAnsi="David" w:cs="David"/>
          <w:rtl/>
        </w:rPr>
      </w:pPr>
      <w:r w:rsidRPr="00EF51B7">
        <w:rPr>
          <w:rFonts w:ascii="David" w:hAnsi="David" w:cs="David" w:hint="cs"/>
          <w:rtl/>
        </w:rPr>
        <w:t>עתה נעיין במספר השלכות למחלוקת זו:</w:t>
      </w:r>
    </w:p>
    <w:p w14:paraId="6554055C" w14:textId="77777777" w:rsidR="00EF51B7" w:rsidRPr="00EF51B7" w:rsidRDefault="00EF51B7" w:rsidP="00963570">
      <w:pPr>
        <w:keepNext/>
        <w:keepLines/>
        <w:contextualSpacing/>
        <w:outlineLvl w:val="2"/>
        <w:rPr>
          <w:rFonts w:ascii="David" w:hAnsi="David" w:cs="David"/>
          <w:b/>
          <w:bCs/>
          <w:color w:val="1F3763"/>
          <w:sz w:val="26"/>
          <w:szCs w:val="26"/>
          <w:bdr w:val="none" w:sz="0" w:space="0" w:color="auto" w:frame="1"/>
          <w:rtl/>
        </w:rPr>
      </w:pPr>
      <w:r w:rsidRPr="00EF51B7">
        <w:rPr>
          <w:rFonts w:ascii="David" w:hAnsi="David" w:cs="David" w:hint="cs"/>
          <w:b/>
          <w:bCs/>
          <w:color w:val="1F3763"/>
          <w:sz w:val="26"/>
          <w:szCs w:val="26"/>
          <w:bdr w:val="none" w:sz="0" w:space="0" w:color="auto" w:frame="1"/>
          <w:rtl/>
        </w:rPr>
        <w:t>א. תערובת יבש</w:t>
      </w:r>
    </w:p>
    <w:p w14:paraId="635E91A2" w14:textId="77777777" w:rsidR="00EF51B7" w:rsidRPr="00EF51B7" w:rsidRDefault="00EF51B7" w:rsidP="00963570">
      <w:pPr>
        <w:contextualSpacing/>
        <w:rPr>
          <w:rFonts w:ascii="David" w:hAnsi="David" w:cs="David"/>
          <w:rtl/>
        </w:rPr>
      </w:pPr>
      <w:r w:rsidRPr="00EF51B7">
        <w:rPr>
          <w:rFonts w:ascii="David" w:hAnsi="David" w:cs="David" w:hint="cs"/>
          <w:rtl/>
        </w:rPr>
        <w:t>דבר דומה ניתן לומר על תערובת יבש: המשנה במסכת תרומות (פרק ה)</w:t>
      </w:r>
      <w:r w:rsidRPr="00EF51B7">
        <w:rPr>
          <w:rFonts w:ascii="David" w:hAnsi="David" w:cs="David" w:hint="cs"/>
        </w:rPr>
        <w:t xml:space="preserve"> </w:t>
      </w:r>
      <w:r w:rsidRPr="00EF51B7">
        <w:rPr>
          <w:rFonts w:ascii="David" w:hAnsi="David" w:cs="David" w:hint="cs"/>
          <w:rtl/>
        </w:rPr>
        <w:t xml:space="preserve">מביאה דוגמאות רבות לכך שתערובת נאסרת "לפי חשבון". לדוגמא: תרומה שמתערבת בחולין אוסרת עד פי מאה ממנה. כלומר: תפוח אחד של תרומה שנופל לבין תשעים תפוחים אחרים </w:t>
      </w:r>
      <w:r w:rsidRPr="00EF51B7">
        <w:rPr>
          <w:rFonts w:ascii="David" w:hAnsi="David" w:cs="David"/>
          <w:rtl/>
        </w:rPr>
        <w:t>–</w:t>
      </w:r>
      <w:r w:rsidRPr="00EF51B7">
        <w:rPr>
          <w:rFonts w:ascii="David" w:hAnsi="David" w:cs="David" w:hint="cs"/>
          <w:rtl/>
        </w:rPr>
        <w:t xml:space="preserve"> נאסרו כולם. נניח שעתה יתערבו עשרים תפוחים נוספים. לכאורה עשרים תפוחים נפלו לתוך תשעים תפוחים אסורים. אך ההתבוננות הנכונה יותר היא שעדיין יש תפוח תרומה אחד, והוא לא יאסור מאה ועשר תפוחים.</w:t>
      </w:r>
    </w:p>
    <w:p w14:paraId="3E05CD51" w14:textId="77777777" w:rsidR="00EF51B7" w:rsidRPr="00EF51B7" w:rsidRDefault="00EF51B7" w:rsidP="00963570">
      <w:pPr>
        <w:contextualSpacing/>
        <w:rPr>
          <w:rFonts w:ascii="David" w:hAnsi="David" w:cs="David"/>
          <w:rtl/>
        </w:rPr>
      </w:pPr>
      <w:proofErr w:type="spellStart"/>
      <w:r w:rsidRPr="00EF51B7">
        <w:rPr>
          <w:rFonts w:ascii="David" w:hAnsi="David" w:cs="David" w:hint="cs"/>
          <w:rtl/>
        </w:rPr>
        <w:t>הרא"ה</w:t>
      </w:r>
      <w:proofErr w:type="spellEnd"/>
      <w:r w:rsidRPr="00EF51B7">
        <w:rPr>
          <w:rFonts w:ascii="David" w:hAnsi="David" w:cs="David" w:hint="cs"/>
          <w:rtl/>
        </w:rPr>
        <w:t xml:space="preserve"> פוסק כך, והמאירי מבאר שההבדל נעוץ בכך שבתערובות שהתייחסנו אליהן מדובר על העברת טעם, השפעה הדדית. אך במקרה זה אין השפעה של התפוח על יתר התפוחים.</w:t>
      </w:r>
    </w:p>
    <w:p w14:paraId="7FA2719E" w14:textId="77777777" w:rsidR="00EF51B7" w:rsidRPr="00EF51B7" w:rsidRDefault="00EF51B7" w:rsidP="00963570">
      <w:pPr>
        <w:contextualSpacing/>
        <w:rPr>
          <w:rFonts w:ascii="David" w:hAnsi="David" w:cs="David"/>
          <w:rtl/>
        </w:rPr>
      </w:pPr>
    </w:p>
    <w:p w14:paraId="15EDA865" w14:textId="77777777" w:rsidR="00EF51B7" w:rsidRPr="00EF51B7" w:rsidRDefault="00EF51B7" w:rsidP="00963570">
      <w:pPr>
        <w:keepNext/>
        <w:keepLines/>
        <w:contextualSpacing/>
        <w:outlineLvl w:val="2"/>
        <w:rPr>
          <w:rFonts w:ascii="David" w:hAnsi="David" w:cs="David"/>
          <w:b/>
          <w:bCs/>
          <w:color w:val="1F3763"/>
          <w:sz w:val="26"/>
          <w:szCs w:val="26"/>
          <w:bdr w:val="none" w:sz="0" w:space="0" w:color="auto" w:frame="1"/>
          <w:rtl/>
        </w:rPr>
      </w:pPr>
      <w:r w:rsidRPr="00EF51B7">
        <w:rPr>
          <w:rFonts w:ascii="David" w:hAnsi="David" w:cs="David" w:hint="cs"/>
          <w:b/>
          <w:bCs/>
          <w:color w:val="1F3763"/>
          <w:sz w:val="26"/>
          <w:szCs w:val="26"/>
          <w:bdr w:val="none" w:sz="0" w:space="0" w:color="auto" w:frame="1"/>
          <w:rtl/>
        </w:rPr>
        <w:t xml:space="preserve">ב. </w:t>
      </w:r>
      <w:proofErr w:type="spellStart"/>
      <w:r w:rsidRPr="00EF51B7">
        <w:rPr>
          <w:rFonts w:ascii="David" w:hAnsi="David" w:cs="David" w:hint="cs"/>
          <w:b/>
          <w:bCs/>
          <w:color w:val="1F3763"/>
          <w:sz w:val="26"/>
          <w:szCs w:val="26"/>
          <w:bdr w:val="none" w:sz="0" w:space="0" w:color="auto" w:frame="1"/>
          <w:rtl/>
        </w:rPr>
        <w:t>חענ"נ</w:t>
      </w:r>
      <w:proofErr w:type="spellEnd"/>
      <w:r w:rsidRPr="00EF51B7">
        <w:rPr>
          <w:rFonts w:ascii="David" w:hAnsi="David" w:cs="David" w:hint="cs"/>
          <w:b/>
          <w:bCs/>
          <w:color w:val="1F3763"/>
          <w:sz w:val="26"/>
          <w:szCs w:val="26"/>
          <w:bdr w:val="none" w:sz="0" w:space="0" w:color="auto" w:frame="1"/>
          <w:rtl/>
        </w:rPr>
        <w:t xml:space="preserve"> בלח</w:t>
      </w:r>
    </w:p>
    <w:p w14:paraId="5961F70B" w14:textId="77777777" w:rsidR="00EF51B7" w:rsidRPr="00EF51B7" w:rsidRDefault="00EF51B7" w:rsidP="00963570">
      <w:pPr>
        <w:contextualSpacing/>
        <w:rPr>
          <w:rFonts w:ascii="David" w:hAnsi="David" w:cs="David"/>
          <w:rtl/>
        </w:rPr>
      </w:pPr>
      <w:r w:rsidRPr="00EF51B7">
        <w:rPr>
          <w:rFonts w:ascii="David" w:hAnsi="David" w:cs="David" w:hint="cs"/>
          <w:rtl/>
        </w:rPr>
        <w:t xml:space="preserve">המרדכי (חולין </w:t>
      </w:r>
      <w:proofErr w:type="spellStart"/>
      <w:r w:rsidRPr="00EF51B7">
        <w:rPr>
          <w:rFonts w:ascii="David" w:hAnsi="David" w:cs="David" w:hint="cs"/>
          <w:rtl/>
        </w:rPr>
        <w:t>תרצז</w:t>
      </w:r>
      <w:proofErr w:type="spellEnd"/>
      <w:r w:rsidRPr="00EF51B7">
        <w:rPr>
          <w:rFonts w:ascii="David" w:hAnsi="David" w:cs="David" w:hint="cs"/>
          <w:rtl/>
        </w:rPr>
        <w:t>) מביא מעשה בו איסור נפל למרק. הוציאו אותו, אך לא היה במרק פי ששים מהאיסור, כך שכל המרק נאסר. בטעות ערבבו את המרק עם מרק אחר. במרק החדש אין פי ששים ביחס למרק שנאסר, אך יש פי ששים ביחס לאיסור המקורי. התלבטו מה הדין.</w:t>
      </w:r>
    </w:p>
    <w:p w14:paraId="1E4F3E5C" w14:textId="77777777" w:rsidR="00EF51B7" w:rsidRPr="00EF51B7" w:rsidRDefault="00EF51B7" w:rsidP="00963570">
      <w:pPr>
        <w:contextualSpacing/>
        <w:rPr>
          <w:rFonts w:ascii="David" w:hAnsi="David" w:cs="David"/>
          <w:rtl/>
        </w:rPr>
      </w:pPr>
      <w:proofErr w:type="spellStart"/>
      <w:r w:rsidRPr="00EF51B7">
        <w:rPr>
          <w:rFonts w:ascii="David" w:hAnsi="David" w:cs="David" w:hint="cs"/>
          <w:rtl/>
        </w:rPr>
        <w:t>הראב"ן</w:t>
      </w:r>
      <w:proofErr w:type="spellEnd"/>
      <w:r w:rsidRPr="00EF51B7">
        <w:rPr>
          <w:rFonts w:ascii="David" w:hAnsi="David" w:cs="David" w:hint="cs"/>
          <w:rtl/>
        </w:rPr>
        <w:t xml:space="preserve"> דן בעניין: ראשית נראה שהוא מניח כשיטת </w:t>
      </w:r>
      <w:proofErr w:type="spellStart"/>
      <w:r w:rsidRPr="00EF51B7">
        <w:rPr>
          <w:rFonts w:ascii="David" w:hAnsi="David" w:cs="David" w:hint="cs"/>
          <w:rtl/>
        </w:rPr>
        <w:t>הר"ן</w:t>
      </w:r>
      <w:proofErr w:type="spellEnd"/>
      <w:r w:rsidRPr="00EF51B7">
        <w:rPr>
          <w:rFonts w:ascii="David" w:hAnsi="David" w:cs="David" w:hint="cs"/>
          <w:rtl/>
        </w:rPr>
        <w:t xml:space="preserve">, </w:t>
      </w:r>
      <w:proofErr w:type="spellStart"/>
      <w:r w:rsidRPr="00EF51B7">
        <w:rPr>
          <w:rFonts w:ascii="David" w:hAnsi="David" w:cs="David" w:hint="cs"/>
          <w:rtl/>
        </w:rPr>
        <w:t>שמדאורייתא</w:t>
      </w:r>
      <w:proofErr w:type="spellEnd"/>
      <w:r w:rsidRPr="00EF51B7">
        <w:rPr>
          <w:rFonts w:ascii="David" w:hAnsi="David" w:cs="David" w:hint="cs"/>
          <w:rtl/>
        </w:rPr>
        <w:t xml:space="preserve"> </w:t>
      </w:r>
      <w:proofErr w:type="spellStart"/>
      <w:r w:rsidRPr="00EF51B7">
        <w:rPr>
          <w:rFonts w:ascii="David" w:hAnsi="David" w:cs="David" w:hint="cs"/>
          <w:rtl/>
        </w:rPr>
        <w:t>חענ"נ</w:t>
      </w:r>
      <w:proofErr w:type="spellEnd"/>
      <w:r w:rsidRPr="00EF51B7">
        <w:rPr>
          <w:rFonts w:ascii="David" w:hAnsi="David" w:cs="David" w:hint="cs"/>
          <w:rtl/>
        </w:rPr>
        <w:t xml:space="preserve"> הוא בבשר וחלב בלבד, ובשאר איסורים </w:t>
      </w:r>
      <w:proofErr w:type="spellStart"/>
      <w:r w:rsidRPr="00EF51B7">
        <w:rPr>
          <w:rFonts w:ascii="David" w:hAnsi="David" w:cs="David" w:hint="cs"/>
          <w:rtl/>
        </w:rPr>
        <w:t>חענ"נ</w:t>
      </w:r>
      <w:proofErr w:type="spellEnd"/>
      <w:r w:rsidRPr="00EF51B7">
        <w:rPr>
          <w:rFonts w:ascii="David" w:hAnsi="David" w:cs="David" w:hint="cs"/>
          <w:rtl/>
        </w:rPr>
        <w:t xml:space="preserve"> הוא מדרבנן. אך הוא מציע </w:t>
      </w:r>
      <w:proofErr w:type="spellStart"/>
      <w:r w:rsidRPr="00EF51B7">
        <w:rPr>
          <w:rFonts w:ascii="David" w:hAnsi="David" w:cs="David" w:hint="cs"/>
          <w:rtl/>
        </w:rPr>
        <w:t>שחענ"נ</w:t>
      </w:r>
      <w:proofErr w:type="spellEnd"/>
      <w:r w:rsidRPr="00EF51B7">
        <w:rPr>
          <w:rFonts w:ascii="David" w:hAnsi="David" w:cs="David" w:hint="cs"/>
          <w:rtl/>
        </w:rPr>
        <w:t xml:space="preserve"> נגזר בשאר האיסורים רק כאשר יש איסור ניכר בעל חשיבות. אך כאשר יש טעם בתוך מרק, ואי אפשר להצביע על חתיכה שנאסרה, אלא על מרק, על זה לא גזרו </w:t>
      </w:r>
      <w:proofErr w:type="spellStart"/>
      <w:r w:rsidRPr="00EF51B7">
        <w:rPr>
          <w:rFonts w:ascii="David" w:hAnsi="David" w:cs="David" w:hint="cs"/>
          <w:rtl/>
        </w:rPr>
        <w:t>חענ"נ</w:t>
      </w:r>
      <w:proofErr w:type="spellEnd"/>
      <w:r w:rsidRPr="00EF51B7">
        <w:rPr>
          <w:rFonts w:ascii="David" w:hAnsi="David" w:cs="David" w:hint="cs"/>
          <w:rtl/>
        </w:rPr>
        <w:t xml:space="preserve">, אלא יש לשער לפי החשבון המקורי (לכאורה יש כאן שיטה שמבקשת למצע בין </w:t>
      </w:r>
      <w:proofErr w:type="spellStart"/>
      <w:r w:rsidRPr="00EF51B7">
        <w:rPr>
          <w:rFonts w:ascii="David" w:hAnsi="David" w:cs="David" w:hint="cs"/>
          <w:rtl/>
        </w:rPr>
        <w:t>הר"ן</w:t>
      </w:r>
      <w:proofErr w:type="spellEnd"/>
      <w:r w:rsidRPr="00EF51B7">
        <w:rPr>
          <w:rFonts w:ascii="David" w:hAnsi="David" w:cs="David" w:hint="cs"/>
          <w:rtl/>
        </w:rPr>
        <w:t xml:space="preserve"> </w:t>
      </w:r>
      <w:proofErr w:type="spellStart"/>
      <w:r w:rsidRPr="00EF51B7">
        <w:rPr>
          <w:rFonts w:ascii="David" w:hAnsi="David" w:cs="David" w:hint="cs"/>
          <w:rtl/>
        </w:rPr>
        <w:t>והרשב"א</w:t>
      </w:r>
      <w:proofErr w:type="spellEnd"/>
      <w:r w:rsidRPr="00EF51B7">
        <w:rPr>
          <w:rFonts w:ascii="David" w:hAnsi="David" w:cs="David" w:hint="cs"/>
          <w:rtl/>
        </w:rPr>
        <w:t xml:space="preserve">, ולומר </w:t>
      </w:r>
      <w:proofErr w:type="spellStart"/>
      <w:r w:rsidRPr="00EF51B7">
        <w:rPr>
          <w:rFonts w:ascii="David" w:hAnsi="David" w:cs="David" w:hint="cs"/>
          <w:rtl/>
        </w:rPr>
        <w:t>שחענ"נ</w:t>
      </w:r>
      <w:proofErr w:type="spellEnd"/>
      <w:r w:rsidRPr="00EF51B7">
        <w:rPr>
          <w:rFonts w:ascii="David" w:hAnsi="David" w:cs="David" w:hint="cs"/>
          <w:rtl/>
        </w:rPr>
        <w:t xml:space="preserve"> בשאר איסורים מדרבנן, ולכן הוא מגביל את היקף הגזירה).</w:t>
      </w:r>
    </w:p>
    <w:p w14:paraId="61180F56" w14:textId="77777777" w:rsidR="00EF51B7" w:rsidRPr="00EF51B7" w:rsidRDefault="00EF51B7" w:rsidP="00963570">
      <w:pPr>
        <w:contextualSpacing/>
        <w:rPr>
          <w:rFonts w:ascii="David" w:hAnsi="David" w:cs="David"/>
          <w:rtl/>
        </w:rPr>
      </w:pPr>
      <w:proofErr w:type="spellStart"/>
      <w:r w:rsidRPr="00EF51B7">
        <w:rPr>
          <w:rFonts w:ascii="David" w:hAnsi="David" w:cs="David" w:hint="cs"/>
          <w:rtl/>
        </w:rPr>
        <w:t>הר"ן</w:t>
      </w:r>
      <w:proofErr w:type="spellEnd"/>
      <w:r w:rsidRPr="00EF51B7">
        <w:rPr>
          <w:rFonts w:ascii="David" w:hAnsi="David" w:cs="David" w:hint="cs"/>
          <w:rtl/>
        </w:rPr>
        <w:t xml:space="preserve"> עצמו מציע סיבה שונה מדוע לא לאסור את התערובת הנוזלית: </w:t>
      </w:r>
      <w:proofErr w:type="spellStart"/>
      <w:r w:rsidRPr="00EF51B7">
        <w:rPr>
          <w:rFonts w:ascii="David" w:hAnsi="David" w:cs="David" w:hint="cs"/>
          <w:rtl/>
        </w:rPr>
        <w:t>חענ"נ</w:t>
      </w:r>
      <w:proofErr w:type="spellEnd"/>
      <w:r w:rsidRPr="00EF51B7">
        <w:rPr>
          <w:rFonts w:ascii="David" w:hAnsi="David" w:cs="David" w:hint="cs"/>
          <w:rtl/>
        </w:rPr>
        <w:t xml:space="preserve"> נאמר בשאר איסורים כגזירה ביחס לבשר בחלב. אך בשר בחלב נאסר מדאורייתא בבישול בלבד. לפיכך, אם האיסור התערבב נוזלית, ולא בבישול, לא נאמר </w:t>
      </w:r>
      <w:proofErr w:type="spellStart"/>
      <w:r w:rsidRPr="00EF51B7">
        <w:rPr>
          <w:rFonts w:ascii="David" w:hAnsi="David" w:cs="David" w:hint="cs"/>
          <w:rtl/>
        </w:rPr>
        <w:t>חענ"נ</w:t>
      </w:r>
      <w:proofErr w:type="spellEnd"/>
      <w:r w:rsidRPr="00EF51B7">
        <w:rPr>
          <w:rFonts w:ascii="David" w:hAnsi="David" w:cs="David" w:hint="cs"/>
          <w:rtl/>
        </w:rPr>
        <w:t>.</w:t>
      </w:r>
    </w:p>
    <w:p w14:paraId="73112DC1" w14:textId="77777777" w:rsidR="00EF51B7" w:rsidRPr="00EF51B7" w:rsidRDefault="00EF51B7" w:rsidP="00963570">
      <w:pPr>
        <w:contextualSpacing/>
        <w:rPr>
          <w:rFonts w:ascii="David" w:hAnsi="David" w:cs="David"/>
          <w:rtl/>
        </w:rPr>
      </w:pPr>
      <w:r w:rsidRPr="00EF51B7">
        <w:rPr>
          <w:rFonts w:ascii="David" w:hAnsi="David" w:cs="David" w:hint="cs"/>
          <w:rtl/>
        </w:rPr>
        <w:t xml:space="preserve">כמובן שדבריו יהיו תקפים רק אם מדובר בערבוב נוזלי ללא בישול. אם הוסיפו את המרק שנאסר בזמן שהרתיחו את המרק השני לכאורה הגזירה תחול גם במקרה זה. </w:t>
      </w:r>
    </w:p>
    <w:p w14:paraId="75154B4F" w14:textId="77777777" w:rsidR="00EF51B7" w:rsidRPr="00EF51B7" w:rsidRDefault="00EF51B7" w:rsidP="00963570">
      <w:pPr>
        <w:contextualSpacing/>
        <w:rPr>
          <w:rFonts w:ascii="David" w:hAnsi="David" w:cs="David"/>
          <w:rtl/>
        </w:rPr>
      </w:pPr>
      <w:proofErr w:type="spellStart"/>
      <w:r w:rsidRPr="00EF51B7">
        <w:rPr>
          <w:rFonts w:ascii="David" w:hAnsi="David" w:cs="David" w:hint="cs"/>
          <w:rtl/>
        </w:rPr>
        <w:t>הראב"ד</w:t>
      </w:r>
      <w:proofErr w:type="spellEnd"/>
      <w:r w:rsidRPr="00EF51B7">
        <w:rPr>
          <w:rFonts w:ascii="David" w:hAnsi="David" w:cs="David" w:hint="cs"/>
          <w:rtl/>
        </w:rPr>
        <w:t xml:space="preserve"> (המובא בתורת הבית </w:t>
      </w:r>
      <w:proofErr w:type="spellStart"/>
      <w:r w:rsidRPr="00EF51B7">
        <w:rPr>
          <w:rFonts w:ascii="David" w:hAnsi="David" w:cs="David" w:hint="cs"/>
          <w:rtl/>
        </w:rPr>
        <w:t>לרשב"א</w:t>
      </w:r>
      <w:proofErr w:type="spellEnd"/>
      <w:r w:rsidRPr="00EF51B7">
        <w:rPr>
          <w:rFonts w:ascii="David" w:hAnsi="David" w:cs="David" w:hint="cs"/>
          <w:rtl/>
        </w:rPr>
        <w:t xml:space="preserve">) מתיר מסיבה שונה: הסיבה שאנו אומרים </w:t>
      </w:r>
      <w:proofErr w:type="spellStart"/>
      <w:r w:rsidRPr="00EF51B7">
        <w:rPr>
          <w:rFonts w:ascii="David" w:hAnsi="David" w:cs="David" w:hint="cs"/>
          <w:rtl/>
        </w:rPr>
        <w:t>חענ"נ</w:t>
      </w:r>
      <w:proofErr w:type="spellEnd"/>
      <w:r w:rsidRPr="00EF51B7">
        <w:rPr>
          <w:rFonts w:ascii="David" w:hAnsi="David" w:cs="David" w:hint="cs"/>
          <w:rtl/>
        </w:rPr>
        <w:t xml:space="preserve"> היא מפני שאי אפשר לסמוך על כך שהאיסור באמת ייפלט. אך כאשר מדובר בנוזלים, הנוזלים אכן יחזרו ויתערבו. אם חתיכה בלעה טעם חזיר, טעם החזיר תמיד יהיה בחתיכה. אך בתערובת נוזלית, הטעם באמת עשוי להתבטל מרוב הנוזלים האחרים. הסבר זה מתאים לשיטת המאירי שלמדנו לעיל.</w:t>
      </w:r>
    </w:p>
    <w:p w14:paraId="4CF6FBD3" w14:textId="77777777" w:rsidR="00EF51B7" w:rsidRPr="00EF51B7" w:rsidRDefault="00EF51B7" w:rsidP="00963570">
      <w:pPr>
        <w:contextualSpacing/>
        <w:rPr>
          <w:rFonts w:ascii="David" w:hAnsi="David" w:cs="David"/>
          <w:rtl/>
        </w:rPr>
      </w:pPr>
      <w:r w:rsidRPr="00EF51B7">
        <w:rPr>
          <w:rFonts w:ascii="David" w:hAnsi="David" w:cs="David" w:hint="cs"/>
          <w:rtl/>
        </w:rPr>
        <w:t xml:space="preserve">להלכה בעניין זה: </w:t>
      </w:r>
      <w:proofErr w:type="spellStart"/>
      <w:r w:rsidRPr="00EF51B7">
        <w:rPr>
          <w:rFonts w:ascii="David" w:hAnsi="David" w:cs="David" w:hint="cs"/>
          <w:rtl/>
        </w:rPr>
        <w:t>הרמ"א</w:t>
      </w:r>
      <w:proofErr w:type="spellEnd"/>
      <w:r w:rsidRPr="00EF51B7">
        <w:rPr>
          <w:rFonts w:ascii="David" w:hAnsi="David" w:cs="David" w:hint="cs"/>
          <w:rtl/>
        </w:rPr>
        <w:t xml:space="preserve"> פוסק שבתערובת נוזלית בשאר איסורים נסמוך על כך שאין </w:t>
      </w:r>
      <w:proofErr w:type="spellStart"/>
      <w:r w:rsidRPr="00EF51B7">
        <w:rPr>
          <w:rFonts w:ascii="David" w:hAnsi="David" w:cs="David" w:hint="cs"/>
          <w:rtl/>
        </w:rPr>
        <w:t>חענ"נ</w:t>
      </w:r>
      <w:proofErr w:type="spellEnd"/>
      <w:r w:rsidRPr="00EF51B7">
        <w:rPr>
          <w:rFonts w:ascii="David" w:hAnsi="David" w:cs="David" w:hint="cs"/>
          <w:rtl/>
        </w:rPr>
        <w:t xml:space="preserve"> אם מדובר בהפסד מרובה. </w:t>
      </w:r>
      <w:proofErr w:type="spellStart"/>
      <w:r w:rsidRPr="00EF51B7">
        <w:rPr>
          <w:rFonts w:ascii="David" w:hAnsi="David" w:cs="David" w:hint="cs"/>
          <w:rtl/>
        </w:rPr>
        <w:t>הט"ז</w:t>
      </w:r>
      <w:proofErr w:type="spellEnd"/>
      <w:r w:rsidRPr="00EF51B7">
        <w:rPr>
          <w:rFonts w:ascii="David" w:hAnsi="David" w:cs="David" w:hint="cs"/>
          <w:rtl/>
        </w:rPr>
        <w:t xml:space="preserve"> מכריע שאם התערובת לא התבשלה לא נאמר </w:t>
      </w:r>
      <w:proofErr w:type="spellStart"/>
      <w:r w:rsidRPr="00EF51B7">
        <w:rPr>
          <w:rFonts w:ascii="David" w:hAnsi="David" w:cs="David" w:hint="cs"/>
          <w:rtl/>
        </w:rPr>
        <w:t>חענ"נ</w:t>
      </w:r>
      <w:proofErr w:type="spellEnd"/>
      <w:r w:rsidRPr="00EF51B7">
        <w:rPr>
          <w:rFonts w:ascii="David" w:hAnsi="David" w:cs="David" w:hint="cs"/>
          <w:rtl/>
        </w:rPr>
        <w:t xml:space="preserve"> כלל. ואם התערובת התבשלה נתיר אותה בהפסד מרובה.</w:t>
      </w:r>
    </w:p>
    <w:p w14:paraId="3A27BDAC" w14:textId="77777777" w:rsidR="00EF51B7" w:rsidRPr="00EF51B7" w:rsidRDefault="00EF51B7" w:rsidP="00963570">
      <w:pPr>
        <w:contextualSpacing/>
        <w:rPr>
          <w:rFonts w:ascii="David" w:hAnsi="David" w:cs="David"/>
          <w:rtl/>
        </w:rPr>
      </w:pPr>
    </w:p>
    <w:p w14:paraId="21A4382B" w14:textId="77777777" w:rsidR="00EF51B7" w:rsidRPr="00EF51B7" w:rsidRDefault="00EF51B7" w:rsidP="00963570">
      <w:pPr>
        <w:keepNext/>
        <w:keepLines/>
        <w:contextualSpacing/>
        <w:outlineLvl w:val="2"/>
        <w:rPr>
          <w:rFonts w:ascii="David" w:hAnsi="David" w:cs="David"/>
          <w:b/>
          <w:bCs/>
          <w:color w:val="1F3763"/>
          <w:sz w:val="26"/>
          <w:szCs w:val="26"/>
          <w:bdr w:val="none" w:sz="0" w:space="0" w:color="auto" w:frame="1"/>
          <w:rtl/>
        </w:rPr>
      </w:pPr>
      <w:r w:rsidRPr="00EF51B7">
        <w:rPr>
          <w:rFonts w:ascii="David" w:hAnsi="David" w:cs="David" w:hint="cs"/>
          <w:b/>
          <w:bCs/>
          <w:color w:val="1F3763"/>
          <w:sz w:val="26"/>
          <w:szCs w:val="26"/>
          <w:bdr w:val="none" w:sz="0" w:space="0" w:color="auto" w:frame="1"/>
          <w:rtl/>
        </w:rPr>
        <w:t xml:space="preserve">ג. </w:t>
      </w:r>
      <w:proofErr w:type="spellStart"/>
      <w:r w:rsidRPr="00EF51B7">
        <w:rPr>
          <w:rFonts w:ascii="David" w:hAnsi="David" w:cs="David" w:hint="cs"/>
          <w:b/>
          <w:bCs/>
          <w:color w:val="1F3763"/>
          <w:sz w:val="26"/>
          <w:szCs w:val="26"/>
          <w:bdr w:val="none" w:sz="0" w:space="0" w:color="auto" w:frame="1"/>
          <w:rtl/>
        </w:rPr>
        <w:t>חענ"נ</w:t>
      </w:r>
      <w:proofErr w:type="spellEnd"/>
      <w:r w:rsidRPr="00EF51B7">
        <w:rPr>
          <w:rFonts w:ascii="David" w:hAnsi="David" w:cs="David" w:hint="cs"/>
          <w:b/>
          <w:bCs/>
          <w:color w:val="1F3763"/>
          <w:sz w:val="26"/>
          <w:szCs w:val="26"/>
          <w:bdr w:val="none" w:sz="0" w:space="0" w:color="auto" w:frame="1"/>
          <w:rtl/>
        </w:rPr>
        <w:t xml:space="preserve"> בדבר הניכר</w:t>
      </w:r>
    </w:p>
    <w:p w14:paraId="340B8471" w14:textId="77777777" w:rsidR="00EF51B7" w:rsidRPr="00EF51B7" w:rsidRDefault="00EF51B7" w:rsidP="00963570">
      <w:pPr>
        <w:contextualSpacing/>
        <w:rPr>
          <w:rFonts w:ascii="David" w:hAnsi="David" w:cs="David"/>
          <w:rtl/>
        </w:rPr>
      </w:pPr>
      <w:r w:rsidRPr="00EF51B7">
        <w:rPr>
          <w:rFonts w:ascii="David" w:hAnsi="David" w:cs="David" w:hint="cs"/>
          <w:rtl/>
        </w:rPr>
        <w:t xml:space="preserve">לכאורה מדברי </w:t>
      </w:r>
      <w:proofErr w:type="spellStart"/>
      <w:r w:rsidRPr="00EF51B7">
        <w:rPr>
          <w:rFonts w:ascii="David" w:hAnsi="David" w:cs="David" w:hint="cs"/>
          <w:rtl/>
        </w:rPr>
        <w:t>הראב"ן</w:t>
      </w:r>
      <w:proofErr w:type="spellEnd"/>
      <w:r w:rsidRPr="00EF51B7">
        <w:rPr>
          <w:rFonts w:ascii="David" w:hAnsi="David" w:cs="David" w:hint="cs"/>
          <w:rtl/>
        </w:rPr>
        <w:t xml:space="preserve"> אפשר להגיע למסקנה משמעותית יותר. הרמב"ם (מאכלות אסורות פרק ט הלכה י) מתאר את המציאות הבאה: חלב נשפך לחתיכה מסוימת הצפה על פני התבשיל שבקדירה. אנו יודעים שהיא אסרה באיסור בשר בחלב את אחת החתיכות, אך אין לנו מושג איזו חתיכה. הרמב"ם אומר שניתן לערבב את כל חתיכות הבשר לתוך הקדירה. הטור תמה עליו </w:t>
      </w:r>
      <w:r w:rsidRPr="00EF51B7">
        <w:rPr>
          <w:rFonts w:ascii="David" w:hAnsi="David" w:cs="David"/>
          <w:rtl/>
        </w:rPr>
        <w:t>–</w:t>
      </w:r>
      <w:r w:rsidRPr="00EF51B7">
        <w:rPr>
          <w:rFonts w:ascii="David" w:hAnsi="David" w:cs="David" w:hint="cs"/>
          <w:rtl/>
        </w:rPr>
        <w:t xml:space="preserve"> מדוע? מעורבת כאן חתיכת בשר שבלעה חלב, מדוע שיהיה מותר לערבב אותה, בכוונה תחילה, עם חתיכות בשר כשרות אחרות?</w:t>
      </w:r>
    </w:p>
    <w:p w14:paraId="38E4AD15" w14:textId="77777777" w:rsidR="00EF51B7" w:rsidRPr="00EF51B7" w:rsidRDefault="00EF51B7" w:rsidP="00963570">
      <w:pPr>
        <w:contextualSpacing/>
        <w:rPr>
          <w:rFonts w:ascii="David" w:hAnsi="David" w:cs="David"/>
          <w:rtl/>
        </w:rPr>
      </w:pPr>
      <w:proofErr w:type="spellStart"/>
      <w:r w:rsidRPr="00EF51B7">
        <w:rPr>
          <w:rFonts w:ascii="David" w:hAnsi="David" w:cs="David" w:hint="cs"/>
          <w:rtl/>
        </w:rPr>
        <w:t>השו"ע</w:t>
      </w:r>
      <w:proofErr w:type="spellEnd"/>
      <w:r w:rsidRPr="00EF51B7">
        <w:rPr>
          <w:rFonts w:ascii="David" w:hAnsi="David" w:cs="David" w:hint="cs"/>
          <w:rtl/>
        </w:rPr>
        <w:t xml:space="preserve"> פוסק את דברי הרמב"ם, </w:t>
      </w:r>
      <w:proofErr w:type="spellStart"/>
      <w:r w:rsidRPr="00EF51B7">
        <w:rPr>
          <w:rFonts w:ascii="David" w:hAnsi="David" w:cs="David" w:hint="cs"/>
          <w:rtl/>
        </w:rPr>
        <w:t>והרמ"א</w:t>
      </w:r>
      <w:proofErr w:type="spellEnd"/>
      <w:r w:rsidRPr="00EF51B7">
        <w:rPr>
          <w:rFonts w:ascii="David" w:hAnsi="David" w:cs="David" w:hint="cs"/>
          <w:rtl/>
        </w:rPr>
        <w:t xml:space="preserve"> חולק ופוסק שלא לנהוג כך.</w:t>
      </w:r>
    </w:p>
    <w:p w14:paraId="37D0C3CA" w14:textId="77777777" w:rsidR="00EF51B7" w:rsidRPr="00EF51B7" w:rsidRDefault="00EF51B7" w:rsidP="00963570">
      <w:pPr>
        <w:contextualSpacing/>
        <w:rPr>
          <w:rFonts w:ascii="David" w:hAnsi="David" w:cs="David"/>
          <w:rtl/>
        </w:rPr>
      </w:pPr>
      <w:r w:rsidRPr="00EF51B7">
        <w:rPr>
          <w:rFonts w:ascii="David" w:hAnsi="David" w:cs="David" w:hint="cs"/>
          <w:rtl/>
        </w:rPr>
        <w:t xml:space="preserve">אך </w:t>
      </w:r>
      <w:proofErr w:type="spellStart"/>
      <w:r w:rsidRPr="00EF51B7">
        <w:rPr>
          <w:rFonts w:ascii="David" w:hAnsi="David" w:cs="David" w:hint="cs"/>
          <w:rtl/>
        </w:rPr>
        <w:t>הש"ך</w:t>
      </w:r>
      <w:proofErr w:type="spellEnd"/>
      <w:r w:rsidRPr="00EF51B7">
        <w:rPr>
          <w:rFonts w:ascii="David" w:hAnsi="David" w:cs="David" w:hint="cs"/>
          <w:rtl/>
        </w:rPr>
        <w:t xml:space="preserve"> מבאר את הדברים: </w:t>
      </w:r>
      <w:proofErr w:type="spellStart"/>
      <w:r w:rsidRPr="00EF51B7">
        <w:rPr>
          <w:rFonts w:ascii="David" w:hAnsi="David" w:cs="David" w:hint="cs"/>
          <w:rtl/>
        </w:rPr>
        <w:t>חענ"נ</w:t>
      </w:r>
      <w:proofErr w:type="spellEnd"/>
      <w:r w:rsidRPr="00EF51B7">
        <w:rPr>
          <w:rFonts w:ascii="David" w:hAnsi="David" w:cs="David" w:hint="cs"/>
          <w:rtl/>
        </w:rPr>
        <w:t xml:space="preserve"> משמעו: אנו מגדירים איסור חדש. מעתה, חתיכה זו היא חתיכה אסורה, לכל דבר ועניין. היא עומדת כאיסור עצמאי, ולא כתערובת. אך אם לא ניתן לזהות את החתיכה האסורה, לא ניתן להצביע עליה ולומר "כי הוא זה", אנו אוסרים רק מחמת החלב שנבלע. מעתה אנו נשער לפי החלב שנשפך, ולא לפי החתיכה שזכתה למעמד אסור עצמאי, מפני שאיננו מזהים את החתיכה הזאת.</w:t>
      </w:r>
    </w:p>
    <w:p w14:paraId="5EF3E8F5" w14:textId="77777777" w:rsidR="00EF51B7" w:rsidRPr="00EF51B7" w:rsidRDefault="00EF51B7" w:rsidP="00963570">
      <w:pPr>
        <w:contextualSpacing/>
        <w:rPr>
          <w:rFonts w:ascii="David" w:hAnsi="David" w:cs="David"/>
          <w:rtl/>
        </w:rPr>
      </w:pPr>
      <w:r w:rsidRPr="00EF51B7">
        <w:rPr>
          <w:rFonts w:ascii="David" w:hAnsi="David" w:cs="David" w:hint="cs"/>
          <w:rtl/>
        </w:rPr>
        <w:lastRenderedPageBreak/>
        <w:t>(</w:t>
      </w:r>
      <w:proofErr w:type="spellStart"/>
      <w:r w:rsidRPr="00EF51B7">
        <w:rPr>
          <w:rFonts w:ascii="David" w:hAnsi="David" w:cs="David" w:hint="cs"/>
          <w:rtl/>
        </w:rPr>
        <w:t>הש"ך</w:t>
      </w:r>
      <w:proofErr w:type="spellEnd"/>
      <w:r w:rsidRPr="00EF51B7">
        <w:rPr>
          <w:rFonts w:ascii="David" w:hAnsi="David" w:cs="David" w:hint="cs"/>
          <w:rtl/>
        </w:rPr>
        <w:t xml:space="preserve"> מציע שיתכן וגם הטור לא חולק על כך מבחינה עקרונית. ברגע שהחתיכה נמצאת בתוך סיר, אין איסור לערבב אותה הלאה לתוך הסיר, ולא נוכל לומר </w:t>
      </w:r>
      <w:proofErr w:type="spellStart"/>
      <w:r w:rsidRPr="00EF51B7">
        <w:rPr>
          <w:rFonts w:ascii="David" w:hAnsi="David" w:cs="David" w:hint="cs"/>
          <w:rtl/>
        </w:rPr>
        <w:t>חענ"נ</w:t>
      </w:r>
      <w:proofErr w:type="spellEnd"/>
      <w:r w:rsidRPr="00EF51B7">
        <w:rPr>
          <w:rFonts w:ascii="David" w:hAnsi="David" w:cs="David" w:hint="cs"/>
          <w:rtl/>
        </w:rPr>
        <w:t xml:space="preserve"> על חתיכה בלתי ידועה. הבעיה היא שרגע לפני הערבוב ניתן להוציא את החתיכות הצפות מעל הקדירה אחת אחת ולתת </w:t>
      </w:r>
      <w:proofErr w:type="spellStart"/>
      <w:r w:rsidRPr="00EF51B7">
        <w:rPr>
          <w:rFonts w:ascii="David" w:hAnsi="David" w:cs="David" w:hint="cs"/>
          <w:rtl/>
        </w:rPr>
        <w:t>לנכרי</w:t>
      </w:r>
      <w:proofErr w:type="spellEnd"/>
      <w:r w:rsidRPr="00EF51B7">
        <w:rPr>
          <w:rFonts w:ascii="David" w:hAnsi="David" w:cs="David" w:hint="cs"/>
          <w:rtl/>
        </w:rPr>
        <w:t xml:space="preserve"> לטעום אותן כדי למצוא את החתיכה שיש בה טעם חלב. אם כך, יתכן והטור אינו חולק על העיקרון של הרמב"ם, אלא רק על היישום במקרה זה).</w:t>
      </w:r>
    </w:p>
    <w:p w14:paraId="4E3CF145" w14:textId="77777777" w:rsidR="00EF51B7" w:rsidRPr="00EF51B7" w:rsidRDefault="00EF51B7" w:rsidP="00963570">
      <w:pPr>
        <w:contextualSpacing/>
        <w:rPr>
          <w:rFonts w:ascii="David" w:hAnsi="David" w:cs="David"/>
          <w:rtl/>
        </w:rPr>
      </w:pPr>
      <w:r w:rsidRPr="00EF51B7">
        <w:rPr>
          <w:rFonts w:ascii="David" w:hAnsi="David" w:cs="David" w:hint="cs"/>
          <w:rtl/>
        </w:rPr>
        <w:t xml:space="preserve">ברם, מהאופן בו </w:t>
      </w:r>
      <w:proofErr w:type="spellStart"/>
      <w:r w:rsidRPr="00EF51B7">
        <w:rPr>
          <w:rFonts w:ascii="David" w:hAnsi="David" w:cs="David" w:hint="cs"/>
          <w:rtl/>
        </w:rPr>
        <w:t>הש"ך</w:t>
      </w:r>
      <w:proofErr w:type="spellEnd"/>
      <w:r w:rsidRPr="00EF51B7">
        <w:rPr>
          <w:rFonts w:ascii="David" w:hAnsi="David" w:cs="David" w:hint="cs"/>
          <w:rtl/>
        </w:rPr>
        <w:t xml:space="preserve"> מבאר את הרמב"ם אנו למדים נקודה עקרונית:</w:t>
      </w:r>
      <w:r w:rsidRPr="00EF51B7">
        <w:rPr>
          <w:rFonts w:ascii="David" w:hAnsi="David" w:cs="David" w:hint="cs"/>
        </w:rPr>
        <w:t xml:space="preserve"> </w:t>
      </w:r>
      <w:r w:rsidRPr="00EF51B7">
        <w:rPr>
          <w:rFonts w:ascii="David" w:hAnsi="David" w:cs="David" w:hint="cs"/>
          <w:rtl/>
        </w:rPr>
        <w:t xml:space="preserve">המגיד משנה </w:t>
      </w:r>
      <w:proofErr w:type="spellStart"/>
      <w:r w:rsidRPr="00EF51B7">
        <w:rPr>
          <w:rFonts w:ascii="David" w:hAnsi="David" w:cs="David" w:hint="cs"/>
          <w:rtl/>
        </w:rPr>
        <w:t>והש"ך</w:t>
      </w:r>
      <w:proofErr w:type="spellEnd"/>
      <w:r w:rsidRPr="00EF51B7">
        <w:rPr>
          <w:rFonts w:ascii="David" w:hAnsi="David" w:cs="David" w:hint="cs"/>
          <w:rtl/>
        </w:rPr>
        <w:t xml:space="preserve"> מניחים שלפי הרמב"ם </w:t>
      </w:r>
      <w:proofErr w:type="spellStart"/>
      <w:r w:rsidRPr="00EF51B7">
        <w:rPr>
          <w:rFonts w:ascii="David" w:hAnsi="David" w:cs="David" w:hint="cs"/>
          <w:rtl/>
        </w:rPr>
        <w:t>חענ"נ</w:t>
      </w:r>
      <w:proofErr w:type="spellEnd"/>
      <w:r w:rsidRPr="00EF51B7">
        <w:rPr>
          <w:rFonts w:ascii="David" w:hAnsi="David" w:cs="David" w:hint="cs"/>
          <w:rtl/>
        </w:rPr>
        <w:t xml:space="preserve"> הוא דרבנן בלבד, גם בבשר בחלב וגם בשאר האיסורים.</w:t>
      </w:r>
    </w:p>
    <w:p w14:paraId="65E5700A" w14:textId="77777777" w:rsidR="00C859D7" w:rsidRPr="002864E4" w:rsidRDefault="00C859D7" w:rsidP="00963570">
      <w:pPr>
        <w:contextualSpacing/>
      </w:pPr>
    </w:p>
    <w:p w14:paraId="27E603F6" w14:textId="77777777" w:rsidR="00E43B21" w:rsidRDefault="003A118B" w:rsidP="00E43B21">
      <w:pPr>
        <w:contextualSpacing/>
        <w:jc w:val="center"/>
        <w:rPr>
          <w:rStyle w:val="Hyperlink"/>
          <w:rFonts w:cs="David"/>
          <w:b/>
          <w:bCs/>
          <w:sz w:val="23"/>
          <w:szCs w:val="23"/>
          <w:u w:val="none"/>
          <w:rtl/>
          <w:lang w:eastAsia="he-IL"/>
        </w:rPr>
      </w:pPr>
      <w:hyperlink r:id="rId16" w:history="1">
        <w:r w:rsidR="001141B5" w:rsidRPr="00CB4B59">
          <w:rPr>
            <w:rStyle w:val="Hyperlink"/>
            <w:rFonts w:cs="David" w:hint="cs"/>
            <w:b/>
            <w:bCs/>
            <w:sz w:val="23"/>
            <w:szCs w:val="23"/>
            <w:rtl/>
            <w:lang w:eastAsia="he-IL"/>
          </w:rPr>
          <w:t>ארץ חמדה – קישור לשיעורי "מורנו" ביוטיוב</w:t>
        </w:r>
      </w:hyperlink>
      <w:bookmarkEnd w:id="4"/>
      <w:r w:rsidR="002864E4" w:rsidRPr="002864E4">
        <w:rPr>
          <w:rStyle w:val="Hyperlink"/>
          <w:rFonts w:cs="David" w:hint="cs"/>
          <w:b/>
          <w:bCs/>
          <w:sz w:val="23"/>
          <w:szCs w:val="23"/>
          <w:u w:val="none"/>
          <w:rtl/>
          <w:lang w:eastAsia="he-IL"/>
        </w:rPr>
        <w:t xml:space="preserve">          </w:t>
      </w:r>
    </w:p>
    <w:p w14:paraId="6CF0275F" w14:textId="24D203BC" w:rsidR="00C859D7" w:rsidRDefault="00C859D7" w:rsidP="00E43B21">
      <w:pPr>
        <w:contextualSpacing/>
        <w:jc w:val="center"/>
        <w:rPr>
          <w:rStyle w:val="Hyperlink"/>
          <w:rFonts w:cs="David"/>
          <w:b/>
          <w:bCs/>
          <w:sz w:val="23"/>
          <w:szCs w:val="23"/>
          <w:u w:val="none"/>
          <w:rtl/>
          <w:lang w:eastAsia="he-IL"/>
        </w:rPr>
      </w:pPr>
      <w:r w:rsidRPr="00A355EC">
        <w:rPr>
          <w:rFonts w:cs="David" w:hint="cs"/>
          <w:b/>
          <w:bCs/>
          <w:color w:val="0070C0"/>
          <w:rtl/>
          <w:lang w:eastAsia="he-IL"/>
        </w:rPr>
        <w:t xml:space="preserve">ניתן ליצור קשר עם הכותבים דרך:  </w:t>
      </w:r>
      <w:hyperlink r:id="rId17" w:history="1">
        <w:r w:rsidRPr="00A355EC">
          <w:rPr>
            <w:rFonts w:cs="David"/>
            <w:b/>
            <w:bCs/>
            <w:color w:val="0070C0"/>
            <w:u w:val="single"/>
            <w:lang w:eastAsia="he-IL"/>
          </w:rPr>
          <w:t>info@eretzhemdah.org</w:t>
        </w:r>
      </w:hyperlink>
    </w:p>
    <w:bookmarkEnd w:id="0"/>
    <w:bookmarkEnd w:id="5"/>
    <w:p w14:paraId="250F27A4" w14:textId="24A586C2" w:rsidR="000801C9" w:rsidRDefault="000801C9" w:rsidP="00D93BBC">
      <w:pPr>
        <w:ind w:left="-2" w:firstLine="2"/>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849"/>
        <w:gridCol w:w="1119"/>
        <w:gridCol w:w="11"/>
        <w:gridCol w:w="136"/>
        <w:gridCol w:w="565"/>
        <w:gridCol w:w="10"/>
        <w:gridCol w:w="1402"/>
        <w:gridCol w:w="149"/>
        <w:gridCol w:w="560"/>
        <w:gridCol w:w="153"/>
        <w:gridCol w:w="709"/>
        <w:gridCol w:w="563"/>
        <w:gridCol w:w="418"/>
        <w:gridCol w:w="582"/>
        <w:gridCol w:w="563"/>
        <w:gridCol w:w="272"/>
        <w:gridCol w:w="149"/>
        <w:gridCol w:w="845"/>
        <w:gridCol w:w="707"/>
        <w:gridCol w:w="856"/>
        <w:gridCol w:w="288"/>
      </w:tblGrid>
      <w:tr w:rsidR="00C859D7" w:rsidRPr="005648DA" w14:paraId="444D6A10" w14:textId="77777777" w:rsidTr="00C859D7">
        <w:tc>
          <w:tcPr>
            <w:tcW w:w="7226" w:type="dxa"/>
            <w:gridSpan w:val="14"/>
            <w:tcBorders>
              <w:top w:val="single" w:sz="4" w:space="0" w:color="auto"/>
              <w:left w:val="single" w:sz="4" w:space="0" w:color="auto"/>
              <w:bottom w:val="nil"/>
              <w:right w:val="nil"/>
            </w:tcBorders>
            <w:vAlign w:val="center"/>
          </w:tcPr>
          <w:p w14:paraId="1E2BCADF" w14:textId="77777777" w:rsidR="00C859D7" w:rsidRPr="005648DA" w:rsidRDefault="00C859D7" w:rsidP="00C859D7">
            <w:pPr>
              <w:spacing w:line="276" w:lineRule="auto"/>
              <w:contextualSpacing/>
              <w:jc w:val="center"/>
              <w:rPr>
                <w:rFonts w:cs="David"/>
                <w:b/>
                <w:bCs/>
                <w:sz w:val="6"/>
                <w:szCs w:val="6"/>
                <w:u w:val="single"/>
                <w:rtl/>
              </w:rPr>
            </w:pPr>
          </w:p>
          <w:p w14:paraId="11127DB8" w14:textId="450D4E32" w:rsidR="00C859D7" w:rsidRPr="005648DA" w:rsidRDefault="00C859D7" w:rsidP="00C859D7">
            <w:pPr>
              <w:spacing w:line="276"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0" w:type="dxa"/>
            <w:gridSpan w:val="7"/>
            <w:tcBorders>
              <w:top w:val="single" w:sz="4" w:space="0" w:color="auto"/>
              <w:left w:val="nil"/>
              <w:bottom w:val="nil"/>
              <w:right w:val="single" w:sz="4" w:space="0" w:color="auto"/>
            </w:tcBorders>
            <w:vAlign w:val="center"/>
          </w:tcPr>
          <w:p w14:paraId="0D6DB1DF" w14:textId="77777777" w:rsidR="00C859D7" w:rsidRPr="005648DA" w:rsidRDefault="00C859D7" w:rsidP="00C859D7">
            <w:pPr>
              <w:spacing w:line="276" w:lineRule="auto"/>
              <w:contextualSpacing/>
              <w:jc w:val="center"/>
              <w:rPr>
                <w:rFonts w:ascii="Calibri" w:eastAsia="Calibri" w:hAnsi="Calibri" w:cs="David"/>
                <w:b/>
                <w:bCs/>
                <w:color w:val="0070C0"/>
                <w:sz w:val="19"/>
                <w:szCs w:val="19"/>
                <w:rtl/>
              </w:rPr>
            </w:pPr>
            <w:r w:rsidRPr="005648DA">
              <w:rPr>
                <w:rFonts w:cs="David" w:hint="cs"/>
                <w:b/>
                <w:bCs/>
                <w:color w:val="0070C0"/>
                <w:sz w:val="19"/>
                <w:szCs w:val="19"/>
                <w:rtl/>
              </w:rPr>
              <w:t>החייל, איתמר חיים בן ציפי ציפורה</w:t>
            </w:r>
          </w:p>
        </w:tc>
      </w:tr>
      <w:tr w:rsidR="00C859D7" w:rsidRPr="005648DA" w14:paraId="101ED499" w14:textId="77777777" w:rsidTr="00C859D7">
        <w:tc>
          <w:tcPr>
            <w:tcW w:w="1968" w:type="dxa"/>
            <w:gridSpan w:val="2"/>
            <w:tcBorders>
              <w:top w:val="nil"/>
              <w:left w:val="single" w:sz="4" w:space="0" w:color="auto"/>
              <w:bottom w:val="nil"/>
              <w:right w:val="nil"/>
            </w:tcBorders>
            <w:vAlign w:val="center"/>
          </w:tcPr>
          <w:p w14:paraId="68EACE89" w14:textId="4375F132" w:rsidR="00C859D7" w:rsidRPr="005648DA" w:rsidRDefault="00C859D7" w:rsidP="00C859D7">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6" w:type="dxa"/>
            <w:gridSpan w:val="8"/>
            <w:tcBorders>
              <w:top w:val="nil"/>
              <w:left w:val="nil"/>
              <w:bottom w:val="nil"/>
              <w:right w:val="nil"/>
            </w:tcBorders>
            <w:vAlign w:val="center"/>
          </w:tcPr>
          <w:p w14:paraId="13025F19" w14:textId="77777777" w:rsidR="00C859D7" w:rsidRPr="005648DA" w:rsidRDefault="00C859D7" w:rsidP="00C859D7">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5D070930" w14:textId="77777777" w:rsidR="00C859D7" w:rsidRPr="005648DA" w:rsidRDefault="00C859D7" w:rsidP="00C859D7">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71F85EBC" w14:textId="77777777" w:rsidR="00C859D7" w:rsidRPr="005648DA" w:rsidRDefault="00C859D7" w:rsidP="00C859D7">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88" w:type="dxa"/>
            <w:tcBorders>
              <w:top w:val="nil"/>
              <w:left w:val="nil"/>
              <w:bottom w:val="nil"/>
              <w:right w:val="single" w:sz="4" w:space="0" w:color="auto"/>
            </w:tcBorders>
            <w:vAlign w:val="center"/>
          </w:tcPr>
          <w:p w14:paraId="60574C81" w14:textId="77777777" w:rsidR="00C859D7" w:rsidRPr="005648DA" w:rsidRDefault="00C859D7" w:rsidP="00C859D7">
            <w:pPr>
              <w:spacing w:line="276" w:lineRule="auto"/>
              <w:contextualSpacing/>
              <w:jc w:val="center"/>
              <w:rPr>
                <w:rFonts w:cs="David"/>
                <w:b/>
                <w:bCs/>
                <w:color w:val="0070C0"/>
                <w:sz w:val="19"/>
                <w:szCs w:val="19"/>
              </w:rPr>
            </w:pPr>
          </w:p>
        </w:tc>
      </w:tr>
      <w:tr w:rsidR="00C859D7" w:rsidRPr="005648DA" w14:paraId="7D5FEDE9" w14:textId="77777777" w:rsidTr="00C859D7">
        <w:tc>
          <w:tcPr>
            <w:tcW w:w="849" w:type="dxa"/>
            <w:tcBorders>
              <w:top w:val="nil"/>
              <w:left w:val="single" w:sz="4" w:space="0" w:color="auto"/>
              <w:bottom w:val="nil"/>
              <w:right w:val="nil"/>
            </w:tcBorders>
            <w:vAlign w:val="center"/>
          </w:tcPr>
          <w:p w14:paraId="09CE9BFF" w14:textId="2B24529D" w:rsidR="00C859D7" w:rsidRPr="005648DA" w:rsidRDefault="00C859D7" w:rsidP="00C859D7">
            <w:pPr>
              <w:spacing w:line="276" w:lineRule="auto"/>
              <w:contextualSpacing/>
              <w:jc w:val="center"/>
              <w:rPr>
                <w:rFonts w:cs="David"/>
                <w:b/>
                <w:bCs/>
                <w:color w:val="0070C0"/>
                <w:sz w:val="19"/>
                <w:szCs w:val="19"/>
                <w:rtl/>
              </w:rPr>
            </w:pPr>
          </w:p>
        </w:tc>
        <w:tc>
          <w:tcPr>
            <w:tcW w:w="1841" w:type="dxa"/>
            <w:gridSpan w:val="5"/>
            <w:tcBorders>
              <w:top w:val="nil"/>
              <w:left w:val="nil"/>
              <w:bottom w:val="nil"/>
              <w:right w:val="nil"/>
            </w:tcBorders>
            <w:vAlign w:val="center"/>
          </w:tcPr>
          <w:p w14:paraId="564331C5"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2111" w:type="dxa"/>
            <w:gridSpan w:val="3"/>
            <w:tcBorders>
              <w:top w:val="nil"/>
              <w:left w:val="nil"/>
              <w:bottom w:val="nil"/>
              <w:right w:val="nil"/>
            </w:tcBorders>
            <w:vAlign w:val="center"/>
          </w:tcPr>
          <w:p w14:paraId="6AD92BE1" w14:textId="77777777" w:rsidR="00C859D7" w:rsidRPr="005648DA" w:rsidRDefault="00C859D7" w:rsidP="00C859D7">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843" w:type="dxa"/>
            <w:gridSpan w:val="4"/>
            <w:tcBorders>
              <w:top w:val="nil"/>
              <w:left w:val="nil"/>
              <w:bottom w:val="nil"/>
              <w:right w:val="nil"/>
            </w:tcBorders>
            <w:vAlign w:val="center"/>
          </w:tcPr>
          <w:p w14:paraId="2875445C" w14:textId="77777777" w:rsidR="00C859D7" w:rsidRPr="005648DA" w:rsidRDefault="00C859D7" w:rsidP="00C859D7">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3118" w:type="dxa"/>
            <w:gridSpan w:val="6"/>
            <w:tcBorders>
              <w:top w:val="nil"/>
              <w:left w:val="nil"/>
              <w:bottom w:val="nil"/>
              <w:right w:val="nil"/>
            </w:tcBorders>
            <w:vAlign w:val="center"/>
          </w:tcPr>
          <w:p w14:paraId="35CC4D5F"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1144" w:type="dxa"/>
            <w:gridSpan w:val="2"/>
            <w:tcBorders>
              <w:top w:val="nil"/>
              <w:left w:val="nil"/>
              <w:bottom w:val="nil"/>
              <w:right w:val="single" w:sz="4" w:space="0" w:color="auto"/>
            </w:tcBorders>
            <w:vAlign w:val="center"/>
          </w:tcPr>
          <w:p w14:paraId="79C10814"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C859D7" w:rsidRPr="005648DA" w14:paraId="29FB4CB3" w14:textId="77777777" w:rsidTr="00C859D7">
        <w:tc>
          <w:tcPr>
            <w:tcW w:w="1979" w:type="dxa"/>
            <w:gridSpan w:val="3"/>
            <w:tcBorders>
              <w:top w:val="nil"/>
              <w:left w:val="single" w:sz="4" w:space="0" w:color="auto"/>
              <w:bottom w:val="nil"/>
              <w:right w:val="nil"/>
            </w:tcBorders>
            <w:vAlign w:val="center"/>
          </w:tcPr>
          <w:p w14:paraId="6436ED37" w14:textId="46C1B942" w:rsidR="00C859D7" w:rsidRPr="005648DA" w:rsidRDefault="00C859D7" w:rsidP="00C859D7">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3" w:type="dxa"/>
            <w:gridSpan w:val="4"/>
            <w:tcBorders>
              <w:top w:val="nil"/>
              <w:left w:val="nil"/>
              <w:bottom w:val="nil"/>
              <w:right w:val="nil"/>
            </w:tcBorders>
            <w:vAlign w:val="center"/>
          </w:tcPr>
          <w:p w14:paraId="2A3754A3"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27B6BC25" w14:textId="77777777" w:rsidR="00C859D7" w:rsidRPr="005648DA" w:rsidRDefault="00C859D7" w:rsidP="00C859D7">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285CA37F" w14:textId="77777777" w:rsidR="00C859D7" w:rsidRPr="005648DA" w:rsidRDefault="00C859D7" w:rsidP="00C859D7">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4"/>
            <w:tcBorders>
              <w:top w:val="nil"/>
              <w:left w:val="nil"/>
              <w:bottom w:val="nil"/>
              <w:right w:val="nil"/>
            </w:tcBorders>
            <w:vAlign w:val="center"/>
          </w:tcPr>
          <w:p w14:paraId="04F900A1" w14:textId="77777777" w:rsidR="00C859D7" w:rsidRPr="005648DA" w:rsidRDefault="00C859D7" w:rsidP="00C859D7">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1" w:type="dxa"/>
            <w:gridSpan w:val="3"/>
            <w:tcBorders>
              <w:top w:val="nil"/>
              <w:left w:val="nil"/>
              <w:bottom w:val="nil"/>
              <w:right w:val="single" w:sz="4" w:space="0" w:color="auto"/>
            </w:tcBorders>
            <w:vAlign w:val="center"/>
          </w:tcPr>
          <w:p w14:paraId="5F99CA85"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C859D7" w:rsidRPr="005648DA" w14:paraId="74CA401B" w14:textId="77777777" w:rsidTr="00C859D7">
        <w:tc>
          <w:tcPr>
            <w:tcW w:w="2115" w:type="dxa"/>
            <w:gridSpan w:val="4"/>
            <w:tcBorders>
              <w:top w:val="nil"/>
              <w:left w:val="single" w:sz="4" w:space="0" w:color="auto"/>
              <w:bottom w:val="nil"/>
              <w:right w:val="nil"/>
            </w:tcBorders>
            <w:vAlign w:val="center"/>
          </w:tcPr>
          <w:p w14:paraId="28BA3696" w14:textId="525A449A"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4"/>
            <w:tcBorders>
              <w:top w:val="nil"/>
              <w:left w:val="nil"/>
              <w:bottom w:val="nil"/>
              <w:right w:val="nil"/>
            </w:tcBorders>
            <w:vAlign w:val="center"/>
          </w:tcPr>
          <w:p w14:paraId="0ACCDDE1"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4"/>
            <w:tcBorders>
              <w:top w:val="nil"/>
              <w:left w:val="nil"/>
              <w:bottom w:val="nil"/>
              <w:right w:val="nil"/>
            </w:tcBorders>
            <w:vAlign w:val="center"/>
          </w:tcPr>
          <w:p w14:paraId="7068BBDB" w14:textId="77777777" w:rsidR="00C859D7" w:rsidRPr="005648DA" w:rsidRDefault="00C859D7" w:rsidP="00C859D7">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5"/>
            <w:tcBorders>
              <w:top w:val="nil"/>
              <w:left w:val="nil"/>
              <w:bottom w:val="nil"/>
              <w:right w:val="nil"/>
            </w:tcBorders>
            <w:vAlign w:val="center"/>
          </w:tcPr>
          <w:p w14:paraId="7CFBA675"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5D2DD7E7"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88" w:type="dxa"/>
            <w:tcBorders>
              <w:top w:val="nil"/>
              <w:left w:val="nil"/>
              <w:bottom w:val="nil"/>
              <w:right w:val="single" w:sz="4" w:space="0" w:color="auto"/>
            </w:tcBorders>
            <w:vAlign w:val="center"/>
          </w:tcPr>
          <w:p w14:paraId="42C0AD6E" w14:textId="77777777" w:rsidR="00C859D7" w:rsidRPr="005648DA" w:rsidRDefault="00C859D7" w:rsidP="00C859D7">
            <w:pPr>
              <w:spacing w:line="276" w:lineRule="auto"/>
              <w:contextualSpacing/>
              <w:jc w:val="center"/>
              <w:rPr>
                <w:rFonts w:cs="David"/>
                <w:b/>
                <w:bCs/>
                <w:color w:val="0070C0"/>
                <w:sz w:val="19"/>
                <w:szCs w:val="19"/>
                <w:rtl/>
              </w:rPr>
            </w:pPr>
          </w:p>
        </w:tc>
      </w:tr>
      <w:tr w:rsidR="00C859D7" w:rsidRPr="005648DA" w14:paraId="2AD08462" w14:textId="77777777" w:rsidTr="00C859D7">
        <w:tc>
          <w:tcPr>
            <w:tcW w:w="2680" w:type="dxa"/>
            <w:gridSpan w:val="5"/>
            <w:tcBorders>
              <w:top w:val="nil"/>
              <w:left w:val="single" w:sz="4" w:space="0" w:color="auto"/>
              <w:bottom w:val="single" w:sz="4" w:space="0" w:color="auto"/>
              <w:right w:val="nil"/>
            </w:tcBorders>
            <w:vAlign w:val="center"/>
          </w:tcPr>
          <w:p w14:paraId="0E0A4246" w14:textId="20ACC8BD" w:rsidR="00C859D7" w:rsidRPr="005648DA" w:rsidRDefault="00C859D7" w:rsidP="00C859D7">
            <w:pPr>
              <w:spacing w:line="276" w:lineRule="auto"/>
              <w:contextualSpacing/>
              <w:jc w:val="center"/>
              <w:rPr>
                <w:rFonts w:cs="David"/>
                <w:b/>
                <w:bCs/>
                <w:color w:val="0070C0"/>
                <w:sz w:val="19"/>
                <w:szCs w:val="19"/>
                <w:rtl/>
              </w:rPr>
            </w:pPr>
          </w:p>
        </w:tc>
        <w:tc>
          <w:tcPr>
            <w:tcW w:w="4546" w:type="dxa"/>
            <w:gridSpan w:val="9"/>
            <w:tcBorders>
              <w:top w:val="nil"/>
              <w:left w:val="nil"/>
              <w:bottom w:val="single" w:sz="4" w:space="0" w:color="auto"/>
              <w:right w:val="nil"/>
            </w:tcBorders>
            <w:vAlign w:val="center"/>
          </w:tcPr>
          <w:p w14:paraId="3A9D31A6" w14:textId="77777777" w:rsidR="00C859D7" w:rsidRPr="005648DA" w:rsidRDefault="00C859D7" w:rsidP="00C859D7">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835" w:type="dxa"/>
            <w:gridSpan w:val="2"/>
            <w:tcBorders>
              <w:top w:val="nil"/>
              <w:left w:val="nil"/>
              <w:bottom w:val="single" w:sz="4" w:space="0" w:color="auto"/>
              <w:right w:val="nil"/>
            </w:tcBorders>
            <w:vAlign w:val="center"/>
          </w:tcPr>
          <w:p w14:paraId="3B868C50" w14:textId="77777777" w:rsidR="00C859D7" w:rsidRPr="005648DA" w:rsidRDefault="00C859D7" w:rsidP="00C859D7">
            <w:pPr>
              <w:spacing w:line="276" w:lineRule="auto"/>
              <w:ind w:firstLine="21"/>
              <w:contextualSpacing/>
              <w:jc w:val="center"/>
              <w:rPr>
                <w:rFonts w:ascii="Calibri" w:eastAsia="Calibri" w:hAnsi="Calibri" w:cs="David"/>
                <w:b/>
                <w:bCs/>
                <w:color w:val="0070C0"/>
                <w:sz w:val="19"/>
                <w:szCs w:val="19"/>
                <w:rtl/>
              </w:rPr>
            </w:pPr>
          </w:p>
        </w:tc>
        <w:tc>
          <w:tcPr>
            <w:tcW w:w="2845" w:type="dxa"/>
            <w:gridSpan w:val="5"/>
            <w:tcBorders>
              <w:top w:val="nil"/>
              <w:left w:val="nil"/>
              <w:bottom w:val="single" w:sz="4" w:space="0" w:color="auto"/>
              <w:right w:val="single" w:sz="4" w:space="0" w:color="auto"/>
            </w:tcBorders>
            <w:vAlign w:val="center"/>
          </w:tcPr>
          <w:p w14:paraId="33C1BF31" w14:textId="77777777" w:rsidR="00C859D7" w:rsidRPr="005648DA" w:rsidRDefault="00C859D7" w:rsidP="00C859D7">
            <w:pPr>
              <w:spacing w:line="276" w:lineRule="auto"/>
              <w:contextualSpacing/>
              <w:jc w:val="center"/>
              <w:rPr>
                <w:rFonts w:cs="David"/>
                <w:b/>
                <w:bCs/>
                <w:color w:val="0070C0"/>
                <w:sz w:val="19"/>
                <w:szCs w:val="19"/>
                <w:rtl/>
              </w:rPr>
            </w:pPr>
            <w:r>
              <w:rPr>
                <w:rFonts w:cs="David" w:hint="cs"/>
                <w:b/>
                <w:bCs/>
                <w:color w:val="0070C0"/>
                <w:sz w:val="19"/>
                <w:szCs w:val="19"/>
                <w:rtl/>
              </w:rPr>
              <w:t xml:space="preserve">נבו בן </w:t>
            </w:r>
            <w:proofErr w:type="spellStart"/>
            <w:r>
              <w:rPr>
                <w:rFonts w:cs="David" w:hint="cs"/>
                <w:b/>
                <w:bCs/>
                <w:color w:val="0070C0"/>
                <w:sz w:val="19"/>
                <w:szCs w:val="19"/>
                <w:rtl/>
              </w:rPr>
              <w:t>פריבה</w:t>
            </w:r>
            <w:proofErr w:type="spellEnd"/>
          </w:p>
        </w:tc>
      </w:tr>
    </w:tbl>
    <w:p w14:paraId="7748D72C" w14:textId="12F532F1" w:rsidR="00252659" w:rsidRDefault="00252659" w:rsidP="00601083">
      <w:pPr>
        <w:contextualSpacing/>
        <w:rPr>
          <w:rFonts w:cs="David"/>
          <w:rtl/>
        </w:rPr>
      </w:pPr>
    </w:p>
    <w:p w14:paraId="50F39819" w14:textId="77777777" w:rsidR="00F72641" w:rsidRDefault="00F72641" w:rsidP="00601083">
      <w:pPr>
        <w:contextualSpacing/>
        <w:rPr>
          <w:rFonts w:cs="David"/>
          <w:rtl/>
        </w:rPr>
      </w:pPr>
    </w:p>
    <w:p w14:paraId="198A8956" w14:textId="77777777" w:rsidR="00CC0BFE" w:rsidRPr="00CC0BFE" w:rsidRDefault="00CC0BFE" w:rsidP="00601083">
      <w:pPr>
        <w:contextualSpacing/>
        <w:rPr>
          <w:rFonts w:cs="David"/>
          <w:rtl/>
        </w:rPr>
      </w:pPr>
    </w:p>
    <w:p w14:paraId="64D2CB0C" w14:textId="3332EACD" w:rsidR="00C859D7" w:rsidRDefault="00C859D7" w:rsidP="00F35BD1">
      <w:pPr>
        <w:contextualSpacing/>
        <w:rPr>
          <w:rFonts w:ascii="David" w:hAnsi="David" w:cs="David"/>
        </w:rPr>
      </w:pPr>
      <w:r w:rsidRPr="003E3AE1">
        <w:rPr>
          <w:rFonts w:cs="David"/>
          <w:noProof/>
          <w:sz w:val="12"/>
          <w:szCs w:val="12"/>
        </w:rPr>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Default="00C859D7" w:rsidP="00F35BD1">
      <w:pPr>
        <w:contextualSpacing/>
        <w:rPr>
          <w:rFonts w:ascii="David" w:hAnsi="David" w:cs="David"/>
        </w:rPr>
      </w:pPr>
    </w:p>
    <w:p w14:paraId="5D48706F" w14:textId="77777777" w:rsidR="00C859D7" w:rsidRDefault="00C859D7" w:rsidP="00F35BD1">
      <w:pPr>
        <w:contextualSpacing/>
        <w:rPr>
          <w:rFonts w:ascii="David" w:hAnsi="David" w:cs="David"/>
        </w:rPr>
      </w:pPr>
    </w:p>
    <w:p w14:paraId="4A68C0EB" w14:textId="77777777" w:rsidR="00C4104E" w:rsidRPr="00C4104E" w:rsidRDefault="00C4104E" w:rsidP="00C4104E">
      <w:pPr>
        <w:widowControl w:val="0"/>
        <w:autoSpaceDE w:val="0"/>
        <w:autoSpaceDN w:val="0"/>
        <w:adjustRightInd w:val="0"/>
        <w:contextualSpacing/>
        <w:rPr>
          <w:rFonts w:ascii="David" w:hAnsi="David" w:cs="David"/>
          <w:rtl/>
        </w:rPr>
      </w:pPr>
    </w:p>
    <w:p w14:paraId="33A053CE" w14:textId="77777777" w:rsidR="00240334" w:rsidRPr="00240334" w:rsidRDefault="00240334" w:rsidP="00240334">
      <w:pPr>
        <w:contextualSpacing/>
        <w:rPr>
          <w:rFonts w:cs="David"/>
          <w:rtl/>
        </w:rPr>
      </w:pPr>
      <w:r w:rsidRPr="00240334">
        <w:rPr>
          <w:rFonts w:cs="David"/>
          <w:rtl/>
        </w:rPr>
        <w:t xml:space="preserve">(מתוך </w:t>
      </w:r>
      <w:proofErr w:type="spellStart"/>
      <w:r w:rsidRPr="00240334">
        <w:rPr>
          <w:rFonts w:cs="David"/>
          <w:rtl/>
        </w:rPr>
        <w:t>ח</w:t>
      </w:r>
      <w:r w:rsidRPr="00240334">
        <w:rPr>
          <w:rFonts w:cs="David" w:hint="cs"/>
          <w:rtl/>
        </w:rPr>
        <w:t>"</w:t>
      </w:r>
      <w:r w:rsidRPr="00240334">
        <w:rPr>
          <w:rFonts w:cs="David"/>
          <w:rtl/>
        </w:rPr>
        <w:t>ג</w:t>
      </w:r>
      <w:proofErr w:type="spellEnd"/>
      <w:r w:rsidRPr="00240334">
        <w:rPr>
          <w:rFonts w:cs="David"/>
          <w:rtl/>
        </w:rPr>
        <w:t>)</w:t>
      </w:r>
    </w:p>
    <w:p w14:paraId="28BBDF74" w14:textId="77777777" w:rsidR="00240334" w:rsidRPr="00240334" w:rsidRDefault="00240334" w:rsidP="00240334">
      <w:pPr>
        <w:contextualSpacing/>
        <w:rPr>
          <w:rFonts w:cs="David"/>
          <w:rtl/>
        </w:rPr>
      </w:pPr>
    </w:p>
    <w:p w14:paraId="4A7821E8" w14:textId="77777777" w:rsidR="00240334" w:rsidRPr="00240334" w:rsidRDefault="00240334" w:rsidP="00240334">
      <w:pPr>
        <w:keepNext/>
        <w:contextualSpacing/>
        <w:outlineLvl w:val="0"/>
        <w:rPr>
          <w:rFonts w:cs="David"/>
          <w:b/>
          <w:bCs/>
          <w:sz w:val="32"/>
          <w:szCs w:val="32"/>
          <w:rtl/>
        </w:rPr>
      </w:pPr>
      <w:r w:rsidRPr="00240334">
        <w:rPr>
          <w:rFonts w:cs="David"/>
          <w:b/>
          <w:bCs/>
          <w:sz w:val="32"/>
          <w:szCs w:val="32"/>
          <w:rtl/>
        </w:rPr>
        <w:t>חרקוב, אוקראינה</w:t>
      </w:r>
      <w:r w:rsidRPr="00240334">
        <w:rPr>
          <w:rFonts w:cs="David"/>
          <w:b/>
          <w:bCs/>
          <w:sz w:val="32"/>
          <w:szCs w:val="32"/>
          <w:rtl/>
        </w:rPr>
        <w:tab/>
      </w:r>
      <w:r w:rsidRPr="00240334">
        <w:rPr>
          <w:rFonts w:cs="David"/>
          <w:b/>
          <w:bCs/>
          <w:sz w:val="32"/>
          <w:szCs w:val="32"/>
          <w:rtl/>
        </w:rPr>
        <w:tab/>
      </w:r>
      <w:r w:rsidRPr="00240334">
        <w:rPr>
          <w:rFonts w:cs="David"/>
          <w:b/>
          <w:bCs/>
          <w:sz w:val="32"/>
          <w:szCs w:val="32"/>
          <w:rtl/>
        </w:rPr>
        <w:tab/>
      </w:r>
      <w:r w:rsidRPr="00240334">
        <w:rPr>
          <w:rFonts w:cs="David"/>
          <w:b/>
          <w:bCs/>
          <w:sz w:val="32"/>
          <w:szCs w:val="32"/>
          <w:rtl/>
        </w:rPr>
        <w:tab/>
      </w:r>
      <w:r w:rsidRPr="00240334">
        <w:rPr>
          <w:rFonts w:cs="David"/>
          <w:b/>
          <w:bCs/>
          <w:sz w:val="32"/>
          <w:szCs w:val="32"/>
          <w:rtl/>
        </w:rPr>
        <w:tab/>
      </w:r>
      <w:r w:rsidRPr="00240334">
        <w:rPr>
          <w:rFonts w:cs="David"/>
          <w:b/>
          <w:bCs/>
          <w:sz w:val="32"/>
          <w:szCs w:val="32"/>
          <w:rtl/>
        </w:rPr>
        <w:tab/>
      </w:r>
      <w:r w:rsidRPr="00240334">
        <w:rPr>
          <w:rFonts w:cs="David"/>
          <w:b/>
          <w:bCs/>
          <w:sz w:val="32"/>
          <w:szCs w:val="32"/>
          <w:rtl/>
        </w:rPr>
        <w:tab/>
      </w:r>
      <w:r w:rsidRPr="00240334">
        <w:rPr>
          <w:rFonts w:cs="David"/>
          <w:b/>
          <w:bCs/>
          <w:sz w:val="32"/>
          <w:szCs w:val="32"/>
          <w:rtl/>
        </w:rPr>
        <w:tab/>
      </w:r>
      <w:r w:rsidRPr="00240334">
        <w:rPr>
          <w:rFonts w:cs="David" w:hint="cs"/>
          <w:b/>
          <w:bCs/>
          <w:sz w:val="32"/>
          <w:szCs w:val="32"/>
          <w:rtl/>
        </w:rPr>
        <w:t xml:space="preserve">   </w:t>
      </w:r>
      <w:r w:rsidRPr="00240334">
        <w:rPr>
          <w:rFonts w:cs="David"/>
          <w:b/>
          <w:bCs/>
          <w:sz w:val="32"/>
          <w:szCs w:val="32"/>
          <w:rtl/>
        </w:rPr>
        <w:t xml:space="preserve"> </w:t>
      </w:r>
      <w:r w:rsidRPr="00240334">
        <w:rPr>
          <w:rFonts w:cs="David"/>
          <w:b/>
          <w:bCs/>
          <w:sz w:val="32"/>
          <w:szCs w:val="32"/>
        </w:rPr>
        <w:t xml:space="preserve">Kharkov, Ukraine         </w:t>
      </w:r>
    </w:p>
    <w:p w14:paraId="7DB9A708" w14:textId="77777777" w:rsidR="00240334" w:rsidRPr="00240334" w:rsidRDefault="00240334" w:rsidP="00240334">
      <w:pPr>
        <w:keepNext/>
        <w:contextualSpacing/>
        <w:outlineLvl w:val="0"/>
        <w:rPr>
          <w:rFonts w:cs="David"/>
          <w:rtl/>
        </w:rPr>
      </w:pPr>
      <w:r w:rsidRPr="00240334">
        <w:rPr>
          <w:rFonts w:cs="David"/>
          <w:rtl/>
        </w:rPr>
        <w:t>אלול תשנ"ד</w:t>
      </w:r>
    </w:p>
    <w:p w14:paraId="5649D15F" w14:textId="77777777" w:rsidR="00240334" w:rsidRPr="00240334" w:rsidRDefault="00240334" w:rsidP="00240334">
      <w:pPr>
        <w:keepNext/>
        <w:contextualSpacing/>
        <w:outlineLvl w:val="1"/>
        <w:rPr>
          <w:rFonts w:cs="David"/>
          <w:rtl/>
        </w:rPr>
      </w:pPr>
    </w:p>
    <w:p w14:paraId="68F1FFE7" w14:textId="77777777" w:rsidR="00240334" w:rsidRPr="00240334" w:rsidRDefault="00240334" w:rsidP="00240334">
      <w:pPr>
        <w:keepNext/>
        <w:contextualSpacing/>
        <w:outlineLvl w:val="1"/>
        <w:rPr>
          <w:rFonts w:ascii="David" w:hAnsi="David" w:cs="David"/>
          <w:b/>
          <w:bCs/>
          <w:color w:val="0070C0"/>
          <w:kern w:val="2"/>
          <w:sz w:val="30"/>
          <w:szCs w:val="30"/>
          <w:rtl/>
          <w14:ligatures w14:val="standardContextual"/>
        </w:rPr>
      </w:pPr>
      <w:r w:rsidRPr="00240334">
        <w:rPr>
          <w:rFonts w:ascii="David" w:hAnsi="David" w:cs="David"/>
          <w:b/>
          <w:bCs/>
          <w:color w:val="0070C0"/>
          <w:kern w:val="2"/>
          <w:sz w:val="30"/>
          <w:szCs w:val="30"/>
          <w:rtl/>
          <w14:ligatures w14:val="standardContextual"/>
        </w:rPr>
        <w:t>נאמנות גוי בברירת אורז</w:t>
      </w:r>
    </w:p>
    <w:p w14:paraId="26F32B51" w14:textId="77777777" w:rsidR="00240334" w:rsidRPr="00240334" w:rsidRDefault="00240334" w:rsidP="00240334">
      <w:pPr>
        <w:contextualSpacing/>
        <w:rPr>
          <w:rFonts w:cs="David"/>
          <w:rtl/>
        </w:rPr>
      </w:pPr>
    </w:p>
    <w:p w14:paraId="59D19991" w14:textId="77777777" w:rsidR="00240334" w:rsidRPr="00240334" w:rsidRDefault="00240334" w:rsidP="00240334">
      <w:pPr>
        <w:contextualSpacing/>
        <w:rPr>
          <w:rFonts w:cs="David"/>
          <w:b/>
          <w:bCs/>
          <w:sz w:val="26"/>
          <w:szCs w:val="26"/>
          <w:rtl/>
        </w:rPr>
      </w:pPr>
      <w:r w:rsidRPr="00240334">
        <w:rPr>
          <w:rFonts w:cs="David"/>
          <w:b/>
          <w:bCs/>
          <w:sz w:val="26"/>
          <w:szCs w:val="26"/>
          <w:rtl/>
        </w:rPr>
        <w:t>שאלה</w:t>
      </w:r>
    </w:p>
    <w:p w14:paraId="58FD3308" w14:textId="77777777" w:rsidR="00240334" w:rsidRPr="00240334" w:rsidRDefault="00240334" w:rsidP="00240334">
      <w:pPr>
        <w:contextualSpacing/>
        <w:rPr>
          <w:rFonts w:cs="David"/>
          <w:rtl/>
        </w:rPr>
      </w:pPr>
      <w:r w:rsidRPr="00240334">
        <w:rPr>
          <w:rFonts w:cs="David"/>
          <w:rtl/>
        </w:rPr>
        <w:t xml:space="preserve">האם יש לגויה נאמנות בברירת אורז כשישראל יוצא ונכנס (וכנ"ל בבדיקות כשרות </w:t>
      </w:r>
      <w:r w:rsidRPr="00240334">
        <w:rPr>
          <w:rFonts w:cs="David"/>
        </w:rPr>
        <w:t>–</w:t>
      </w:r>
      <w:r w:rsidRPr="00240334">
        <w:rPr>
          <w:rFonts w:cs="David"/>
          <w:rtl/>
        </w:rPr>
        <w:t xml:space="preserve"> תולעים בכרוב וכו')</w:t>
      </w:r>
    </w:p>
    <w:p w14:paraId="049B8E34" w14:textId="77777777" w:rsidR="00240334" w:rsidRPr="00240334" w:rsidRDefault="00240334" w:rsidP="00240334">
      <w:pPr>
        <w:contextualSpacing/>
        <w:rPr>
          <w:rFonts w:cs="David"/>
          <w:rtl/>
        </w:rPr>
      </w:pPr>
    </w:p>
    <w:p w14:paraId="5EAB21A1" w14:textId="77777777" w:rsidR="00240334" w:rsidRPr="00240334" w:rsidRDefault="00240334" w:rsidP="00240334">
      <w:pPr>
        <w:contextualSpacing/>
        <w:rPr>
          <w:rFonts w:cs="David"/>
          <w:b/>
          <w:bCs/>
          <w:sz w:val="26"/>
          <w:szCs w:val="26"/>
          <w:rtl/>
        </w:rPr>
      </w:pPr>
      <w:r w:rsidRPr="00240334">
        <w:rPr>
          <w:rFonts w:cs="David"/>
          <w:b/>
          <w:bCs/>
          <w:sz w:val="26"/>
          <w:szCs w:val="26"/>
          <w:rtl/>
        </w:rPr>
        <w:t>תשובה</w:t>
      </w:r>
    </w:p>
    <w:p w14:paraId="6635F4ED" w14:textId="77777777" w:rsidR="00240334" w:rsidRPr="00240334" w:rsidRDefault="00240334" w:rsidP="00240334">
      <w:pPr>
        <w:contextualSpacing/>
        <w:rPr>
          <w:rFonts w:cs="David"/>
          <w:rtl/>
        </w:rPr>
      </w:pPr>
      <w:r w:rsidRPr="00240334">
        <w:rPr>
          <w:rFonts w:cs="David"/>
          <w:rtl/>
        </w:rPr>
        <w:t xml:space="preserve">נאמנות לגוי באיסור והיתר כאשר ישראל יוצא ונכנס, מצינו רק בפעולות סבילות של הגוי, למשל </w:t>
      </w:r>
      <w:r w:rsidRPr="00240334">
        <w:rPr>
          <w:rFonts w:cs="David"/>
        </w:rPr>
        <w:t>–</w:t>
      </w:r>
      <w:r w:rsidRPr="00240334">
        <w:rPr>
          <w:rFonts w:cs="David"/>
          <w:rtl/>
        </w:rPr>
        <w:t xml:space="preserve"> שלא יחליף</w:t>
      </w:r>
      <w:r w:rsidRPr="00240334">
        <w:rPr>
          <w:rFonts w:cs="David" w:hint="cs"/>
          <w:vertAlign w:val="superscript"/>
          <w:rtl/>
        </w:rPr>
        <w:t>1</w:t>
      </w:r>
      <w:r w:rsidRPr="00240334">
        <w:rPr>
          <w:rFonts w:cs="David"/>
          <w:rtl/>
        </w:rPr>
        <w:t xml:space="preserve">. </w:t>
      </w:r>
    </w:p>
    <w:p w14:paraId="3F022754" w14:textId="77777777" w:rsidR="00240334" w:rsidRPr="00240334" w:rsidRDefault="00240334" w:rsidP="00240334">
      <w:pPr>
        <w:contextualSpacing/>
        <w:rPr>
          <w:rFonts w:cs="David"/>
          <w:rtl/>
        </w:rPr>
      </w:pPr>
      <w:r w:rsidRPr="00240334">
        <w:rPr>
          <w:rFonts w:cs="David"/>
          <w:rtl/>
        </w:rPr>
        <w:t>הנדון דידן שבו מדובר באיסור דאורייתא ועבודה קשה, לא יעזור היתר "ישראל יוצא ונכנס", אלא דווקא בישראל עומד על גביו.</w:t>
      </w:r>
    </w:p>
    <w:p w14:paraId="50AB8553" w14:textId="77777777" w:rsidR="00240334" w:rsidRPr="00240334" w:rsidRDefault="00240334" w:rsidP="00240334">
      <w:pPr>
        <w:contextualSpacing/>
        <w:rPr>
          <w:rFonts w:cs="David"/>
          <w:rtl/>
        </w:rPr>
      </w:pPr>
      <w:r w:rsidRPr="00240334">
        <w:rPr>
          <w:rFonts w:cs="David"/>
          <w:rtl/>
        </w:rPr>
        <w:t xml:space="preserve">אבל אורז בא בשקיות, והוא מוחזק לנקי, ואנו בכל אופן בוררים אותו </w:t>
      </w:r>
      <w:proofErr w:type="spellStart"/>
      <w:r w:rsidRPr="00240334">
        <w:rPr>
          <w:rFonts w:cs="David"/>
          <w:rtl/>
        </w:rPr>
        <w:t>לחומרא</w:t>
      </w:r>
      <w:proofErr w:type="spellEnd"/>
      <w:r w:rsidRPr="00240334">
        <w:rPr>
          <w:rFonts w:cs="David"/>
          <w:rtl/>
        </w:rPr>
        <w:t xml:space="preserve">, נראה שאפשר לסמוך על הגויה.     </w:t>
      </w:r>
    </w:p>
    <w:p w14:paraId="5F26A9C0" w14:textId="77777777" w:rsidR="00240334" w:rsidRPr="00240334" w:rsidRDefault="00240334" w:rsidP="00240334">
      <w:pPr>
        <w:contextualSpacing/>
        <w:rPr>
          <w:rFonts w:cs="David"/>
          <w:rtl/>
        </w:rPr>
      </w:pPr>
    </w:p>
    <w:p w14:paraId="694B1A77" w14:textId="77777777" w:rsidR="00240334" w:rsidRPr="00240334" w:rsidRDefault="00240334" w:rsidP="00240334">
      <w:pPr>
        <w:contextualSpacing/>
        <w:rPr>
          <w:rFonts w:cs="David"/>
          <w:sz w:val="10"/>
          <w:szCs w:val="10"/>
          <w:rtl/>
        </w:rPr>
      </w:pPr>
      <w:r w:rsidRPr="00240334">
        <w:rPr>
          <w:rFonts w:cs="David" w:hint="cs"/>
          <w:sz w:val="10"/>
          <w:szCs w:val="10"/>
          <w:rtl/>
        </w:rPr>
        <w:t>________________________________________________________</w:t>
      </w:r>
    </w:p>
    <w:p w14:paraId="014340C5" w14:textId="77777777" w:rsidR="00240334" w:rsidRPr="00240334" w:rsidRDefault="00240334" w:rsidP="00240334">
      <w:pPr>
        <w:contextualSpacing/>
        <w:rPr>
          <w:rFonts w:cs="David"/>
          <w:sz w:val="10"/>
          <w:szCs w:val="10"/>
          <w:rtl/>
        </w:rPr>
      </w:pPr>
    </w:p>
    <w:p w14:paraId="0C186A82" w14:textId="77777777" w:rsidR="00240334" w:rsidRPr="00240334" w:rsidRDefault="00240334" w:rsidP="00240334">
      <w:pPr>
        <w:ind w:left="141" w:hanging="142"/>
        <w:contextualSpacing/>
        <w:rPr>
          <w:rFonts w:cs="David"/>
          <w:sz w:val="22"/>
          <w:szCs w:val="22"/>
          <w:rtl/>
        </w:rPr>
      </w:pPr>
      <w:r w:rsidRPr="00240334">
        <w:rPr>
          <w:rFonts w:cs="David"/>
          <w:sz w:val="22"/>
          <w:szCs w:val="22"/>
          <w:vertAlign w:val="superscript"/>
          <w:rtl/>
        </w:rPr>
        <w:footnoteRef/>
      </w:r>
      <w:r w:rsidRPr="00240334">
        <w:rPr>
          <w:rFonts w:cs="David"/>
          <w:sz w:val="22"/>
          <w:szCs w:val="22"/>
          <w:rtl/>
        </w:rPr>
        <w:t xml:space="preserve"> </w:t>
      </w:r>
      <w:r w:rsidRPr="00240334">
        <w:rPr>
          <w:rFonts w:cs="David"/>
          <w:sz w:val="22"/>
          <w:szCs w:val="22"/>
          <w:rtl/>
        </w:rPr>
        <w:tab/>
      </w:r>
      <w:proofErr w:type="spellStart"/>
      <w:r w:rsidRPr="00240334">
        <w:rPr>
          <w:rFonts w:cs="David"/>
          <w:sz w:val="22"/>
          <w:szCs w:val="22"/>
          <w:rtl/>
        </w:rPr>
        <w:t>שו"ע</w:t>
      </w:r>
      <w:proofErr w:type="spellEnd"/>
      <w:r w:rsidRPr="00240334">
        <w:rPr>
          <w:rFonts w:cs="David"/>
          <w:sz w:val="22"/>
          <w:szCs w:val="22"/>
          <w:rtl/>
        </w:rPr>
        <w:t xml:space="preserve"> יו"ד (סי' </w:t>
      </w:r>
      <w:proofErr w:type="spellStart"/>
      <w:r w:rsidRPr="00240334">
        <w:rPr>
          <w:rFonts w:cs="David"/>
          <w:sz w:val="22"/>
          <w:szCs w:val="22"/>
          <w:rtl/>
        </w:rPr>
        <w:t>קיח</w:t>
      </w:r>
      <w:proofErr w:type="spellEnd"/>
      <w:r w:rsidRPr="00240334">
        <w:rPr>
          <w:rFonts w:cs="David"/>
          <w:sz w:val="22"/>
          <w:szCs w:val="22"/>
          <w:rtl/>
        </w:rPr>
        <w:t xml:space="preserve"> סעיף י)</w:t>
      </w:r>
      <w:r w:rsidRPr="00240334">
        <w:rPr>
          <w:rFonts w:cs="David" w:hint="cs"/>
          <w:sz w:val="22"/>
          <w:szCs w:val="22"/>
          <w:rtl/>
        </w:rPr>
        <w:t xml:space="preserve"> </w:t>
      </w:r>
      <w:r w:rsidRPr="00240334">
        <w:rPr>
          <w:rFonts w:cs="David"/>
          <w:sz w:val="22"/>
          <w:szCs w:val="22"/>
          <w:rtl/>
        </w:rPr>
        <w:t xml:space="preserve">ואע"פ </w:t>
      </w:r>
      <w:proofErr w:type="spellStart"/>
      <w:r w:rsidRPr="00240334">
        <w:rPr>
          <w:rFonts w:cs="David"/>
          <w:sz w:val="22"/>
          <w:szCs w:val="22"/>
          <w:rtl/>
        </w:rPr>
        <w:t>שמצינו</w:t>
      </w:r>
      <w:proofErr w:type="spellEnd"/>
      <w:r w:rsidRPr="00240334">
        <w:rPr>
          <w:rFonts w:cs="David"/>
          <w:sz w:val="22"/>
          <w:szCs w:val="22"/>
          <w:rtl/>
        </w:rPr>
        <w:t xml:space="preserve"> בסי' סט סעיף י נאמנות לעניין הדחה </w:t>
      </w:r>
      <w:proofErr w:type="spellStart"/>
      <w:r w:rsidRPr="00240334">
        <w:rPr>
          <w:rFonts w:cs="David"/>
          <w:sz w:val="22"/>
          <w:szCs w:val="22"/>
          <w:rtl/>
        </w:rPr>
        <w:t>בתריתא</w:t>
      </w:r>
      <w:proofErr w:type="spellEnd"/>
      <w:r w:rsidRPr="00240334">
        <w:rPr>
          <w:rFonts w:cs="David"/>
          <w:sz w:val="22"/>
          <w:szCs w:val="22"/>
          <w:rtl/>
        </w:rPr>
        <w:t xml:space="preserve">, שם מדובר בעבודה פעוטה, והפוסקים צירפו לזה הרבה סברות, </w:t>
      </w:r>
      <w:proofErr w:type="spellStart"/>
      <w:r w:rsidRPr="00240334">
        <w:rPr>
          <w:rFonts w:cs="David"/>
          <w:sz w:val="22"/>
          <w:szCs w:val="22"/>
          <w:rtl/>
        </w:rPr>
        <w:t>יעי"ש</w:t>
      </w:r>
      <w:proofErr w:type="spellEnd"/>
      <w:r w:rsidRPr="00240334">
        <w:rPr>
          <w:rFonts w:cs="David"/>
          <w:sz w:val="22"/>
          <w:szCs w:val="22"/>
          <w:rtl/>
        </w:rPr>
        <w:t xml:space="preserve">.    </w:t>
      </w:r>
    </w:p>
    <w:p w14:paraId="1FBAC5C3" w14:textId="77777777" w:rsidR="00240334" w:rsidRPr="00240334" w:rsidRDefault="00240334" w:rsidP="00240334">
      <w:pPr>
        <w:contextualSpacing/>
        <w:rPr>
          <w:rFonts w:cs="David"/>
          <w:rtl/>
        </w:rPr>
      </w:pPr>
    </w:p>
    <w:p w14:paraId="5B418239" w14:textId="77777777" w:rsidR="00240334" w:rsidRPr="00240334" w:rsidRDefault="00240334" w:rsidP="00240334">
      <w:pPr>
        <w:contextualSpacing/>
        <w:rPr>
          <w:rFonts w:cs="David"/>
        </w:rPr>
      </w:pPr>
    </w:p>
    <w:p w14:paraId="47B4423D" w14:textId="6D396A00" w:rsidR="00900422" w:rsidRPr="00900422" w:rsidRDefault="00900422" w:rsidP="00900422">
      <w:pPr>
        <w:ind w:left="2695"/>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jc w:val="center"/>
        <w:rPr>
          <w:rFonts w:cs="David"/>
          <w:sz w:val="12"/>
          <w:szCs w:val="12"/>
          <w:rtl/>
          <w:lang w:eastAsia="he-IL"/>
        </w:rPr>
      </w:pPr>
    </w:p>
    <w:p w14:paraId="556A44E3" w14:textId="77777777" w:rsidR="00900422" w:rsidRPr="00900422" w:rsidRDefault="00900422" w:rsidP="00900422">
      <w:pPr>
        <w:keepNext/>
        <w:ind w:left="2695"/>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277F4C7" w:rsidR="00900422" w:rsidRDefault="00900422" w:rsidP="00900422">
      <w:pPr>
        <w:ind w:left="2695"/>
        <w:jc w:val="center"/>
        <w:rPr>
          <w:rFonts w:cs="David"/>
          <w:lang w:eastAsia="he-IL"/>
        </w:rPr>
      </w:pPr>
      <w:r w:rsidRPr="00900422">
        <w:rPr>
          <w:rFonts w:cs="David"/>
          <w:rtl/>
          <w:lang w:eastAsia="he-IL"/>
        </w:rPr>
        <w:t>רא</w:t>
      </w:r>
      <w:r w:rsidRPr="00900422">
        <w:rPr>
          <w:rFonts w:cs="David" w:hint="cs"/>
          <w:rtl/>
          <w:lang w:eastAsia="he-IL"/>
        </w:rPr>
        <w:t>שי הכולל</w:t>
      </w:r>
    </w:p>
    <w:p w14:paraId="1C47903B" w14:textId="77777777" w:rsidR="003E66A1" w:rsidRDefault="003E66A1" w:rsidP="002864E4">
      <w:pPr>
        <w:ind w:left="2695"/>
        <w:jc w:val="center"/>
        <w:rPr>
          <w:rFonts w:cs="David"/>
          <w:rtl/>
        </w:rPr>
      </w:pPr>
    </w:p>
    <w:p w14:paraId="18BB40FA" w14:textId="77777777" w:rsidR="00240334" w:rsidRPr="00240334" w:rsidRDefault="00240334" w:rsidP="00240334">
      <w:pPr>
        <w:ind w:left="2695"/>
        <w:jc w:val="center"/>
        <w:rPr>
          <w:rFonts w:cs="David"/>
          <w:rtl/>
          <w:lang w:eastAsia="he-IL"/>
        </w:rPr>
      </w:pPr>
      <w:r w:rsidRPr="00240334">
        <w:rPr>
          <w:rFonts w:cs="David" w:hint="cs"/>
          <w:rtl/>
          <w:lang w:eastAsia="he-IL"/>
        </w:rPr>
        <w:t>גם</w:t>
      </w:r>
      <w:r w:rsidRPr="00240334">
        <w:rPr>
          <w:rFonts w:cs="David"/>
          <w:rtl/>
          <w:lang w:eastAsia="he-IL"/>
        </w:rPr>
        <w:t xml:space="preserve"> </w:t>
      </w:r>
      <w:r w:rsidRPr="00240334">
        <w:rPr>
          <w:rFonts w:cs="David" w:hint="cs"/>
          <w:rtl/>
          <w:lang w:eastAsia="he-IL"/>
        </w:rPr>
        <w:t>אני מאשר:</w:t>
      </w:r>
    </w:p>
    <w:p w14:paraId="62B8880B" w14:textId="77777777" w:rsidR="00240334" w:rsidRPr="00240334" w:rsidRDefault="00240334" w:rsidP="00240334">
      <w:pPr>
        <w:ind w:left="2695"/>
        <w:jc w:val="center"/>
        <w:rPr>
          <w:rFonts w:cs="David"/>
          <w:rtl/>
          <w:lang w:eastAsia="he-IL"/>
        </w:rPr>
      </w:pPr>
      <w:r w:rsidRPr="00240334">
        <w:rPr>
          <w:rFonts w:cs="David"/>
          <w:rtl/>
          <w:lang w:eastAsia="he-IL"/>
        </w:rPr>
        <w:t>הרב</w:t>
      </w:r>
      <w:r w:rsidRPr="00240334">
        <w:rPr>
          <w:rFonts w:cs="David" w:hint="cs"/>
          <w:rtl/>
          <w:lang w:eastAsia="he-IL"/>
        </w:rPr>
        <w:t xml:space="preserve"> שאול ישראלי</w:t>
      </w:r>
    </w:p>
    <w:p w14:paraId="11C34CFC" w14:textId="476E4611" w:rsidR="00C859D7" w:rsidRDefault="00C859D7" w:rsidP="00F35BD1">
      <w:pPr>
        <w:jc w:val="both"/>
        <w:rPr>
          <w:rFonts w:cs="David"/>
          <w:sz w:val="23"/>
          <w:szCs w:val="23"/>
          <w:rtl/>
          <w:lang w:eastAsia="he-IL"/>
        </w:rPr>
      </w:pPr>
    </w:p>
    <w:p w14:paraId="478BF5F0" w14:textId="77777777" w:rsidR="006B1D3B" w:rsidRPr="006B1D3B" w:rsidRDefault="006B1D3B" w:rsidP="00F35BD1">
      <w:pPr>
        <w:jc w:val="both"/>
        <w:rPr>
          <w:rFonts w:cs="David"/>
          <w:sz w:val="10"/>
          <w:szCs w:val="10"/>
          <w:rtl/>
          <w:lang w:eastAsia="he-IL"/>
        </w:rPr>
      </w:pPr>
    </w:p>
    <w:p w14:paraId="07931B92" w14:textId="77777777" w:rsidR="00977C74" w:rsidRDefault="003A118B" w:rsidP="003F65FA">
      <w:pPr>
        <w:contextualSpacing/>
        <w:jc w:val="center"/>
        <w:rPr>
          <w:rStyle w:val="Hyperlink"/>
          <w:rFonts w:cs="David"/>
          <w:b/>
          <w:bCs/>
          <w:color w:val="002060"/>
          <w:u w:val="none"/>
          <w:rtl/>
          <w:lang w:eastAsia="he-IL"/>
        </w:rPr>
      </w:pPr>
      <w:hyperlink r:id="rId19"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1A4E6F">
        <w:rPr>
          <w:rStyle w:val="Hyperlink"/>
          <w:rFonts w:cs="David" w:hint="cs"/>
          <w:b/>
          <w:bCs/>
          <w:color w:val="002060"/>
          <w:u w:val="none"/>
          <w:rtl/>
          <w:lang w:eastAsia="he-IL"/>
        </w:rPr>
        <w:t xml:space="preserve">   </w:t>
      </w:r>
    </w:p>
    <w:p w14:paraId="4A821759" w14:textId="77777777" w:rsidR="00977C74" w:rsidRDefault="00977C74" w:rsidP="003F65FA">
      <w:pPr>
        <w:contextualSpacing/>
        <w:jc w:val="center"/>
        <w:rPr>
          <w:rStyle w:val="Hyperlink"/>
          <w:rFonts w:cs="David"/>
          <w:b/>
          <w:bCs/>
          <w:color w:val="002060"/>
          <w:u w:val="none"/>
          <w:rtl/>
          <w:lang w:eastAsia="he-IL"/>
        </w:rPr>
      </w:pPr>
    </w:p>
    <w:p w14:paraId="1AA7C342" w14:textId="5A8B6E5C" w:rsidR="003E66A1" w:rsidRDefault="004E0D60" w:rsidP="003F65FA">
      <w:pPr>
        <w:contextualSpacing/>
        <w:jc w:val="center"/>
        <w:rPr>
          <w:color w:val="0070C0"/>
          <w:rtl/>
        </w:rPr>
      </w:pPr>
      <w:r w:rsidRPr="00C71B59">
        <w:rPr>
          <w:rFonts w:cs="David" w:hint="cs"/>
          <w:b/>
          <w:bCs/>
          <w:color w:val="0070C0"/>
          <w:rtl/>
          <w:lang w:eastAsia="he-IL"/>
        </w:rPr>
        <w:t>ני</w:t>
      </w:r>
      <w:r w:rsidRPr="00C71B59">
        <w:rPr>
          <w:rFonts w:cs="David"/>
          <w:b/>
          <w:bCs/>
          <w:color w:val="0070C0"/>
          <w:rtl/>
          <w:lang w:eastAsia="he-IL"/>
        </w:rPr>
        <w:t>תן ליצור קשר עם הכותבים דרך</w:t>
      </w:r>
      <w:r w:rsidRPr="00C71B59">
        <w:rPr>
          <w:rFonts w:cs="David" w:hint="cs"/>
          <w:b/>
          <w:bCs/>
          <w:color w:val="0070C0"/>
          <w:rtl/>
          <w:lang w:eastAsia="he-IL"/>
        </w:rPr>
        <w:t xml:space="preserve">: </w:t>
      </w:r>
      <w:r w:rsidRPr="00C71B59">
        <w:rPr>
          <w:rFonts w:cs="David"/>
          <w:b/>
          <w:bCs/>
          <w:color w:val="0070C0"/>
          <w:rtl/>
          <w:lang w:eastAsia="he-IL"/>
        </w:rPr>
        <w:t xml:space="preserve"> </w:t>
      </w:r>
      <w:hyperlink r:id="rId20" w:history="1">
        <w:r w:rsidRPr="00C71B59">
          <w:rPr>
            <w:color w:val="0070C0"/>
          </w:rPr>
          <w:t>info@eretzhemdah.org</w:t>
        </w:r>
      </w:hyperlink>
    </w:p>
    <w:p w14:paraId="3215A5C6" w14:textId="0078CEE0" w:rsidR="00D51633" w:rsidRDefault="00D51633" w:rsidP="003F65FA">
      <w:pPr>
        <w:contextualSpacing/>
        <w:jc w:val="center"/>
        <w:rPr>
          <w:color w:val="0070C0"/>
          <w:rtl/>
        </w:rPr>
      </w:pPr>
    </w:p>
    <w:p w14:paraId="32DC6D39" w14:textId="35A518E7" w:rsidR="00D51633" w:rsidRDefault="00D51633" w:rsidP="003F65FA">
      <w:pPr>
        <w:contextualSpacing/>
        <w:jc w:val="center"/>
        <w:rPr>
          <w:color w:val="0070C0"/>
          <w:rtl/>
        </w:rPr>
      </w:pPr>
      <w:r w:rsidRPr="00876564">
        <w:rPr>
          <w:noProof/>
          <w:sz w:val="20"/>
          <w:szCs w:val="20"/>
          <w:rtl/>
        </w:rPr>
        <w:drawing>
          <wp:anchor distT="0" distB="0" distL="114300" distR="114300" simplePos="0" relativeHeight="252035072" behindDoc="0" locked="0" layoutInCell="1" allowOverlap="1" wp14:anchorId="5F3ED1E2" wp14:editId="45C89B14">
            <wp:simplePos x="0" y="0"/>
            <wp:positionH relativeFrom="margin">
              <wp:posOffset>1090930</wp:posOffset>
            </wp:positionH>
            <wp:positionV relativeFrom="paragraph">
              <wp:posOffset>76200</wp:posOffset>
            </wp:positionV>
            <wp:extent cx="4838333" cy="1097280"/>
            <wp:effectExtent l="0" t="0" r="635" b="7620"/>
            <wp:wrapNone/>
            <wp:docPr id="7" name="תמונה 7" descr="משטר ומדינה פרסום לחי">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sectPr w:rsidR="00D51633" w:rsidSect="001E6206">
      <w:headerReference w:type="default" r:id="rId23"/>
      <w:headerReference w:type="first" r:id="rId24"/>
      <w:endnotePr>
        <w:numFmt w:val="decimal"/>
      </w:endnotePr>
      <w:type w:val="continuous"/>
      <w:pgSz w:w="11906" w:h="16838" w:code="9"/>
      <w:pgMar w:top="1134"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41264C92" w:rsidR="003056AF" w:rsidRPr="00FA505B" w:rsidRDefault="00240334"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תזריע-מצורע</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8"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2"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DC5CE4"/>
    <w:multiLevelType w:val="hybridMultilevel"/>
    <w:tmpl w:val="38E651CC"/>
    <w:lvl w:ilvl="0" w:tplc="2DB4CA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7"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3"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24"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25"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26"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27"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28"/>
  </w:num>
  <w:num w:numId="2">
    <w:abstractNumId w:val="21"/>
  </w:num>
  <w:num w:numId="3">
    <w:abstractNumId w:val="18"/>
  </w:num>
  <w:num w:numId="4">
    <w:abstractNumId w:val="16"/>
  </w:num>
  <w:num w:numId="5">
    <w:abstractNumId w:val="26"/>
  </w:num>
  <w:num w:numId="6">
    <w:abstractNumId w:val="22"/>
  </w:num>
  <w:num w:numId="7">
    <w:abstractNumId w:val="20"/>
  </w:num>
  <w:num w:numId="8">
    <w:abstractNumId w:val="12"/>
  </w:num>
  <w:num w:numId="9">
    <w:abstractNumId w:val="2"/>
  </w:num>
  <w:num w:numId="10">
    <w:abstractNumId w:val="6"/>
  </w:num>
  <w:num w:numId="11">
    <w:abstractNumId w:val="8"/>
  </w:num>
  <w:num w:numId="12">
    <w:abstractNumId w:val="30"/>
  </w:num>
  <w:num w:numId="13">
    <w:abstractNumId w:val="5"/>
  </w:num>
  <w:num w:numId="14">
    <w:abstractNumId w:val="31"/>
  </w:num>
  <w:num w:numId="15">
    <w:abstractNumId w:val="7"/>
  </w:num>
  <w:num w:numId="16">
    <w:abstractNumId w:val="11"/>
  </w:num>
  <w:num w:numId="17">
    <w:abstractNumId w:val="24"/>
  </w:num>
  <w:num w:numId="18">
    <w:abstractNumId w:val="15"/>
  </w:num>
  <w:num w:numId="19">
    <w:abstractNumId w:val="29"/>
  </w:num>
  <w:num w:numId="20">
    <w:abstractNumId w:val="19"/>
  </w:num>
  <w:num w:numId="21">
    <w:abstractNumId w:val="17"/>
  </w:num>
  <w:num w:numId="22">
    <w:abstractNumId w:val="13"/>
  </w:num>
  <w:num w:numId="23">
    <w:abstractNumId w:val="23"/>
  </w:num>
  <w:num w:numId="24">
    <w:abstractNumId w:val="10"/>
  </w:num>
  <w:num w:numId="25">
    <w:abstractNumId w:val="27"/>
  </w:num>
  <w:num w:numId="26">
    <w:abstractNumId w:val="3"/>
  </w:num>
  <w:num w:numId="27">
    <w:abstractNumId w:val="9"/>
  </w:num>
  <w:num w:numId="28">
    <w:abstractNumId w:val="4"/>
  </w:num>
  <w:num w:numId="29">
    <w:abstractNumId w:val="1"/>
  </w:num>
  <w:num w:numId="30">
    <w:abstractNumId w:val="25"/>
  </w:num>
  <w:num w:numId="31">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7273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18B"/>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570"/>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33"/>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1B7"/>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486"/>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2737"/>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79E9"/>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retzhemdah.org/publications.asp?lang=he&amp;pa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2208</Words>
  <Characters>11012</Characters>
  <Application>Microsoft Office Word</Application>
  <DocSecurity>0</DocSecurity>
  <Lines>91</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8</cp:revision>
  <cp:lastPrinted>2025-01-30T11:17:00Z</cp:lastPrinted>
  <dcterms:created xsi:type="dcterms:W3CDTF">2026-03-10T12:44:00Z</dcterms:created>
  <dcterms:modified xsi:type="dcterms:W3CDTF">2026-04-16T12:58:00Z</dcterms:modified>
</cp:coreProperties>
</file>