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6EEAD011"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55771E">
              <w:rPr>
                <w:rFonts w:ascii="Arial Black" w:hAnsi="Arial Black" w:cs="David" w:hint="cs"/>
                <w:b/>
                <w:bCs/>
                <w:iCs/>
                <w:color w:val="960000"/>
                <w:sz w:val="50"/>
                <w:szCs w:val="50"/>
                <w:rtl/>
              </w:rPr>
              <w:t>בהעלותך</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15428A">
        <w:trPr>
          <w:trHeight w:val="570"/>
        </w:trPr>
        <w:tc>
          <w:tcPr>
            <w:tcW w:w="8359" w:type="dxa"/>
            <w:vAlign w:val="center"/>
          </w:tcPr>
          <w:p w14:paraId="1A6CB7A1" w14:textId="77777777" w:rsidR="00A81FCC" w:rsidRPr="00A81FCC" w:rsidRDefault="00A81FCC" w:rsidP="00A81FCC">
            <w:pPr>
              <w:contextualSpacing/>
              <w:jc w:val="center"/>
              <w:rPr>
                <w:rFonts w:ascii="FrankRuehl" w:eastAsia="Calibri" w:hAnsi="FrankRuehl" w:cs="FrankRuehl"/>
                <w:b/>
                <w:bCs/>
                <w:color w:val="0070C0"/>
                <w:sz w:val="32"/>
                <w:szCs w:val="32"/>
              </w:rPr>
            </w:pPr>
            <w:bookmarkStart w:id="1" w:name="_Hlk184807529"/>
            <w:r w:rsidRPr="00A81FCC">
              <w:rPr>
                <w:rFonts w:ascii="FrankRuehl" w:eastAsia="Calibri" w:hAnsi="FrankRuehl" w:cs="FrankRuehl"/>
                <w:b/>
                <w:bCs/>
                <w:color w:val="0070C0"/>
                <w:sz w:val="32"/>
                <w:szCs w:val="32"/>
                <w:rtl/>
              </w:rPr>
              <w:t xml:space="preserve">וְכִי </w:t>
            </w:r>
            <w:proofErr w:type="spellStart"/>
            <w:r w:rsidRPr="00A81FCC">
              <w:rPr>
                <w:rFonts w:ascii="FrankRuehl" w:eastAsia="Calibri" w:hAnsi="FrankRuehl" w:cs="FrankRuehl"/>
                <w:b/>
                <w:bCs/>
                <w:color w:val="0070C0"/>
                <w:sz w:val="32"/>
                <w:szCs w:val="32"/>
                <w:rtl/>
              </w:rPr>
              <w:t>תָבֹאו</w:t>
            </w:r>
            <w:proofErr w:type="spellEnd"/>
            <w:r w:rsidRPr="00A81FCC">
              <w:rPr>
                <w:rFonts w:ascii="FrankRuehl" w:eastAsia="Calibri" w:hAnsi="FrankRuehl" w:cs="FrankRuehl"/>
                <w:b/>
                <w:bCs/>
                <w:color w:val="0070C0"/>
                <w:sz w:val="32"/>
                <w:szCs w:val="32"/>
                <w:rtl/>
              </w:rPr>
              <w:t>ּ מִלְחָמָה בְּאַרְצְכֶם... וּבְיוֹם שִׂמְחַתְכֶם?!</w:t>
            </w:r>
          </w:p>
          <w:p w14:paraId="5E3C5199" w14:textId="787A42E5" w:rsidR="008E207D" w:rsidRPr="008E207D" w:rsidRDefault="008E207D" w:rsidP="008E207D">
            <w:pPr>
              <w:contextualSpacing/>
              <w:jc w:val="center"/>
              <w:rPr>
                <w:rFonts w:ascii="FrankRuehl" w:eastAsia="Calibri" w:hAnsi="FrankRuehl" w:cs="FrankRuehl"/>
                <w:b/>
                <w:bCs/>
                <w:color w:val="0070C0"/>
                <w:sz w:val="12"/>
                <w:szCs w:val="12"/>
                <w:rtl/>
              </w:rPr>
            </w:pPr>
            <w:r w:rsidRPr="008E207D">
              <w:rPr>
                <w:rFonts w:ascii="FrankRuehl" w:eastAsia="Calibri" w:hAnsi="FrankRuehl" w:cs="FrankRuehl" w:hint="cs"/>
                <w:b/>
                <w:bCs/>
                <w:color w:val="0070C0"/>
                <w:sz w:val="12"/>
                <w:szCs w:val="12"/>
                <w:rtl/>
              </w:rPr>
              <w:t>----------------------</w:t>
            </w:r>
            <w:r>
              <w:rPr>
                <w:rFonts w:ascii="FrankRuehl" w:eastAsia="Calibri" w:hAnsi="FrankRuehl" w:cs="FrankRuehl" w:hint="cs"/>
                <w:b/>
                <w:bCs/>
                <w:color w:val="0070C0"/>
                <w:sz w:val="12"/>
                <w:szCs w:val="12"/>
                <w:rtl/>
              </w:rPr>
              <w:t>---------------------------------------------------------------------</w:t>
            </w:r>
            <w:r w:rsidRPr="008E207D">
              <w:rPr>
                <w:rFonts w:ascii="FrankRuehl" w:eastAsia="Calibri" w:hAnsi="FrankRuehl" w:cs="FrankRuehl" w:hint="cs"/>
                <w:b/>
                <w:bCs/>
                <w:color w:val="0070C0"/>
                <w:sz w:val="12"/>
                <w:szCs w:val="12"/>
                <w:rtl/>
              </w:rPr>
              <w:t>----------------------------</w:t>
            </w:r>
          </w:p>
          <w:p w14:paraId="3C30A566" w14:textId="12466C01" w:rsidR="00313B91" w:rsidRPr="005C78A4" w:rsidRDefault="00E8510C" w:rsidP="00197C20">
            <w:pPr>
              <w:contextualSpacing/>
              <w:jc w:val="center"/>
              <w:rPr>
                <w:rFonts w:cs="David"/>
                <w:noProof/>
                <w:color w:val="0070C0"/>
                <w:rtl/>
              </w:rPr>
            </w:pPr>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77777777" w:rsidR="00512DD9" w:rsidRPr="006E4CFA" w:rsidRDefault="00512DD9" w:rsidP="00C110AA">
            <w:pPr>
              <w:shd w:val="clear" w:color="auto" w:fill="FFFFFF"/>
              <w:rPr>
                <w:rFonts w:ascii="David" w:hAnsi="David" w:cs="David"/>
                <w:sz w:val="8"/>
                <w:szCs w:val="8"/>
              </w:rPr>
            </w:pPr>
            <w:bookmarkStart w:id="2" w:name="_Hlk213923647"/>
          </w:p>
          <w:p w14:paraId="187ED1F3" w14:textId="77777777" w:rsidR="008E207D" w:rsidRPr="009C178E" w:rsidRDefault="008E207D" w:rsidP="008E207D">
            <w:pPr>
              <w:spacing w:line="276" w:lineRule="auto"/>
              <w:rPr>
                <w:rFonts w:ascii="David" w:hAnsi="David" w:cs="David"/>
                <w:sz w:val="6"/>
                <w:szCs w:val="6"/>
                <w:rtl/>
              </w:rPr>
            </w:pPr>
          </w:p>
          <w:p w14:paraId="184F875B" w14:textId="77777777" w:rsidR="00A81FCC" w:rsidRDefault="00A81FCC" w:rsidP="00A81FCC">
            <w:pPr>
              <w:rPr>
                <w:rFonts w:ascii="David" w:hAnsi="David" w:cs="David"/>
                <w:rtl/>
              </w:rPr>
            </w:pPr>
            <w:r w:rsidRPr="00FD1AA7">
              <w:rPr>
                <w:rFonts w:ascii="David" w:hAnsi="David" w:cs="David"/>
                <w:rtl/>
              </w:rPr>
              <w:t xml:space="preserve">פרשתנו </w:t>
            </w:r>
            <w:r w:rsidRPr="00FD1AA7">
              <w:rPr>
                <w:rFonts w:ascii="David" w:hAnsi="David" w:cs="David" w:hint="cs"/>
                <w:rtl/>
              </w:rPr>
              <w:t xml:space="preserve">מטפלת גם בהנהגת הציבור ובכלים העומדים לרשות המנהיגים. </w:t>
            </w:r>
          </w:p>
          <w:p w14:paraId="5C3CB08B" w14:textId="05653FDC" w:rsidR="00A81FCC" w:rsidRPr="00FD1AA7" w:rsidRDefault="00A81FCC" w:rsidP="00A81FCC">
            <w:pPr>
              <w:rPr>
                <w:rFonts w:ascii="David" w:hAnsi="David" w:cs="David"/>
              </w:rPr>
            </w:pPr>
            <w:r w:rsidRPr="00FD1AA7">
              <w:rPr>
                <w:rFonts w:ascii="David" w:hAnsi="David" w:cs="David" w:hint="cs"/>
                <w:rtl/>
              </w:rPr>
              <w:t>במשך אלפי שנים הדרך להעביר הודעות לציבור הרחב הייתה תוך שימוש בחצוצרות ושופרות. כלים אלה גם ש</w:t>
            </w:r>
            <w:r>
              <w:rPr>
                <w:rFonts w:ascii="David" w:hAnsi="David" w:cs="David" w:hint="cs"/>
                <w:rtl/>
              </w:rPr>
              <w:t>י</w:t>
            </w:r>
            <w:r w:rsidRPr="00FD1AA7">
              <w:rPr>
                <w:rFonts w:ascii="David" w:hAnsi="David" w:cs="David" w:hint="cs"/>
                <w:rtl/>
              </w:rPr>
              <w:t xml:space="preserve">משו בפעולות הקשורות למצבים לאומיים וכחלק מעבודת השם, </w:t>
            </w:r>
            <w:r>
              <w:rPr>
                <w:rFonts w:ascii="David" w:hAnsi="David" w:cs="David" w:hint="cs"/>
                <w:rtl/>
              </w:rPr>
              <w:t xml:space="preserve">וכן </w:t>
            </w:r>
            <w:r w:rsidRPr="00FD1AA7">
              <w:rPr>
                <w:rFonts w:ascii="David" w:hAnsi="David" w:cs="David" w:hint="cs"/>
                <w:rtl/>
              </w:rPr>
              <w:t xml:space="preserve">כאמצעי מוזיקלי המביע רגשות ומייצר אוירה. כמובן שגם בחלק זה תפסו </w:t>
            </w:r>
            <w:proofErr w:type="spellStart"/>
            <w:r w:rsidRPr="00FD1AA7">
              <w:rPr>
                <w:rFonts w:ascii="David" w:hAnsi="David" w:cs="David" w:hint="cs"/>
                <w:rtl/>
              </w:rPr>
              <w:t>הכהנים</w:t>
            </w:r>
            <w:proofErr w:type="spellEnd"/>
            <w:r w:rsidRPr="00FD1AA7">
              <w:rPr>
                <w:rFonts w:ascii="David" w:hAnsi="David" w:cs="David" w:hint="cs"/>
                <w:rtl/>
              </w:rPr>
              <w:t xml:space="preserve"> והלויים חלק חשוב.</w:t>
            </w:r>
          </w:p>
          <w:p w14:paraId="1F4DB2B8" w14:textId="77777777" w:rsidR="00A81FCC" w:rsidRPr="00FD1AA7" w:rsidRDefault="00A81FCC" w:rsidP="00A81FCC">
            <w:pPr>
              <w:rPr>
                <w:rFonts w:ascii="David" w:hAnsi="David" w:cs="David"/>
                <w:rtl/>
              </w:rPr>
            </w:pPr>
            <w:r w:rsidRPr="00FD1AA7">
              <w:rPr>
                <w:rFonts w:ascii="David" w:hAnsi="David" w:cs="David" w:hint="cs"/>
                <w:rtl/>
              </w:rPr>
              <w:t>וזה</w:t>
            </w:r>
            <w:r>
              <w:rPr>
                <w:rFonts w:ascii="David" w:hAnsi="David" w:cs="David" w:hint="cs"/>
                <w:rtl/>
              </w:rPr>
              <w:t>,</w:t>
            </w:r>
            <w:r w:rsidRPr="00FD1AA7">
              <w:rPr>
                <w:rFonts w:ascii="David" w:hAnsi="David" w:cs="David" w:hint="cs"/>
                <w:rtl/>
              </w:rPr>
              <w:t xml:space="preserve"> בקיצור</w:t>
            </w:r>
            <w:r>
              <w:rPr>
                <w:rFonts w:ascii="David" w:hAnsi="David" w:cs="David" w:hint="cs"/>
                <w:rtl/>
              </w:rPr>
              <w:t>,</w:t>
            </w:r>
            <w:r w:rsidRPr="00FD1AA7">
              <w:rPr>
                <w:rFonts w:ascii="David" w:hAnsi="David" w:cs="David" w:hint="cs"/>
                <w:rtl/>
              </w:rPr>
              <w:t xml:space="preserve"> לשון הכתוב</w:t>
            </w:r>
            <w:r>
              <w:rPr>
                <w:rFonts w:ascii="David" w:hAnsi="David" w:cs="David" w:hint="cs"/>
                <w:rtl/>
              </w:rPr>
              <w:t>:</w:t>
            </w:r>
            <w:r w:rsidRPr="00FD1AA7">
              <w:rPr>
                <w:rFonts w:ascii="David" w:hAnsi="David" w:cs="David" w:hint="cs"/>
                <w:rtl/>
              </w:rPr>
              <w:t xml:space="preserve"> </w:t>
            </w:r>
            <w:r w:rsidRPr="00A81FCC">
              <w:rPr>
                <w:rFonts w:ascii="FrankRuehl" w:hAnsi="FrankRuehl" w:cs="FrankRuehl"/>
                <w:sz w:val="26"/>
                <w:szCs w:val="26"/>
                <w:rtl/>
              </w:rPr>
              <w:t xml:space="preserve">"וּבְהַקְהִיל אֶת הַקָּהָל תִּתְקְעוּ וְלֹא תָרִיעוּ: .... וְכִי </w:t>
            </w:r>
            <w:proofErr w:type="spellStart"/>
            <w:r w:rsidRPr="00A81FCC">
              <w:rPr>
                <w:rFonts w:ascii="FrankRuehl" w:hAnsi="FrankRuehl" w:cs="FrankRuehl"/>
                <w:sz w:val="26"/>
                <w:szCs w:val="26"/>
                <w:rtl/>
              </w:rPr>
              <w:t>תָבֹאו</w:t>
            </w:r>
            <w:proofErr w:type="spellEnd"/>
            <w:r w:rsidRPr="00A81FCC">
              <w:rPr>
                <w:rFonts w:ascii="FrankRuehl" w:hAnsi="FrankRuehl" w:cs="FrankRuehl"/>
                <w:sz w:val="26"/>
                <w:szCs w:val="26"/>
                <w:rtl/>
              </w:rPr>
              <w:t xml:space="preserve">ּ </w:t>
            </w:r>
            <w:r w:rsidRPr="00A81FCC">
              <w:rPr>
                <w:rFonts w:ascii="FrankRuehl" w:hAnsi="FrankRuehl" w:cs="FrankRuehl"/>
                <w:b/>
                <w:bCs/>
                <w:sz w:val="26"/>
                <w:szCs w:val="26"/>
                <w:rtl/>
              </w:rPr>
              <w:t xml:space="preserve">מִלְחָמָה </w:t>
            </w:r>
            <w:r w:rsidRPr="00A81FCC">
              <w:rPr>
                <w:rFonts w:ascii="FrankRuehl" w:hAnsi="FrankRuehl" w:cs="FrankRuehl"/>
                <w:sz w:val="26"/>
                <w:szCs w:val="26"/>
                <w:rtl/>
              </w:rPr>
              <w:t xml:space="preserve">בְּאַרְצְכֶם עַל הַצַּר הַצֹּרֵר אֶתְכֶם וַהֲרֵעֹתֶם </w:t>
            </w:r>
            <w:proofErr w:type="spellStart"/>
            <w:r w:rsidRPr="00A81FCC">
              <w:rPr>
                <w:rFonts w:ascii="FrankRuehl" w:hAnsi="FrankRuehl" w:cs="FrankRuehl"/>
                <w:sz w:val="26"/>
                <w:szCs w:val="26"/>
                <w:rtl/>
              </w:rPr>
              <w:t>בַּחֲצֹצְרֹת</w:t>
            </w:r>
            <w:proofErr w:type="spellEnd"/>
            <w:r w:rsidRPr="00A81FCC">
              <w:rPr>
                <w:rFonts w:ascii="FrankRuehl" w:hAnsi="FrankRuehl" w:cs="FrankRuehl"/>
                <w:sz w:val="26"/>
                <w:szCs w:val="26"/>
                <w:rtl/>
              </w:rPr>
              <w:t xml:space="preserve"> וְנִזְכַּרְתֶּם לִפְנֵי ה' </w:t>
            </w:r>
            <w:proofErr w:type="spellStart"/>
            <w:r w:rsidRPr="00A81FCC">
              <w:rPr>
                <w:rFonts w:ascii="FrankRuehl" w:hAnsi="FrankRuehl" w:cs="FrankRuehl"/>
                <w:sz w:val="26"/>
                <w:szCs w:val="26"/>
                <w:rtl/>
              </w:rPr>
              <w:t>אֱלֹהֵיכֶם</w:t>
            </w:r>
            <w:proofErr w:type="spellEnd"/>
            <w:r w:rsidRPr="00A81FCC">
              <w:rPr>
                <w:rFonts w:ascii="FrankRuehl" w:hAnsi="FrankRuehl" w:cs="FrankRuehl"/>
                <w:sz w:val="26"/>
                <w:szCs w:val="26"/>
                <w:rtl/>
              </w:rPr>
              <w:t xml:space="preserve"> וְנוֹשַׁעְתֶּם מֵאֹיְבֵיכֶם: וּבְיוֹם</w:t>
            </w:r>
            <w:r w:rsidRPr="00A81FCC">
              <w:rPr>
                <w:rFonts w:ascii="FrankRuehl" w:hAnsi="FrankRuehl" w:cs="FrankRuehl"/>
                <w:b/>
                <w:bCs/>
                <w:sz w:val="26"/>
                <w:szCs w:val="26"/>
                <w:rtl/>
              </w:rPr>
              <w:t xml:space="preserve"> שִׂמְחַתְכֶם</w:t>
            </w:r>
            <w:r w:rsidRPr="00A81FCC">
              <w:rPr>
                <w:rFonts w:ascii="FrankRuehl" w:hAnsi="FrankRuehl" w:cs="FrankRuehl"/>
                <w:sz w:val="26"/>
                <w:szCs w:val="26"/>
                <w:rtl/>
              </w:rPr>
              <w:t xml:space="preserve"> וּבְמוֹעֲדֵיכֶם וּבְרָאשֵׁי </w:t>
            </w:r>
            <w:proofErr w:type="spellStart"/>
            <w:r w:rsidRPr="00A81FCC">
              <w:rPr>
                <w:rFonts w:ascii="FrankRuehl" w:hAnsi="FrankRuehl" w:cs="FrankRuehl"/>
                <w:sz w:val="26"/>
                <w:szCs w:val="26"/>
                <w:rtl/>
              </w:rPr>
              <w:t>חָדְשֵׁיכֶם</w:t>
            </w:r>
            <w:proofErr w:type="spellEnd"/>
            <w:r w:rsidRPr="00A81FCC">
              <w:rPr>
                <w:rFonts w:ascii="FrankRuehl" w:hAnsi="FrankRuehl" w:cs="FrankRuehl"/>
                <w:sz w:val="26"/>
                <w:szCs w:val="26"/>
                <w:rtl/>
              </w:rPr>
              <w:t xml:space="preserve"> וּתְקַעְתֶּם </w:t>
            </w:r>
            <w:proofErr w:type="spellStart"/>
            <w:r w:rsidRPr="00A81FCC">
              <w:rPr>
                <w:rFonts w:ascii="FrankRuehl" w:hAnsi="FrankRuehl" w:cs="FrankRuehl"/>
                <w:sz w:val="26"/>
                <w:szCs w:val="26"/>
                <w:rtl/>
              </w:rPr>
              <w:t>בַּחֲצֹצְרֹת</w:t>
            </w:r>
            <w:proofErr w:type="spellEnd"/>
            <w:r w:rsidRPr="00A81FCC">
              <w:rPr>
                <w:rFonts w:ascii="FrankRuehl" w:hAnsi="FrankRuehl" w:cs="FrankRuehl"/>
                <w:sz w:val="26"/>
                <w:szCs w:val="26"/>
                <w:rtl/>
              </w:rPr>
              <w:t xml:space="preserve"> עַל </w:t>
            </w:r>
            <w:proofErr w:type="spellStart"/>
            <w:r w:rsidRPr="00A81FCC">
              <w:rPr>
                <w:rFonts w:ascii="FrankRuehl" w:hAnsi="FrankRuehl" w:cs="FrankRuehl"/>
                <w:sz w:val="26"/>
                <w:szCs w:val="26"/>
                <w:rtl/>
              </w:rPr>
              <w:t>עֹלֹתֵיכֶם</w:t>
            </w:r>
            <w:proofErr w:type="spellEnd"/>
            <w:r w:rsidRPr="00A81FCC">
              <w:rPr>
                <w:rFonts w:ascii="FrankRuehl" w:hAnsi="FrankRuehl" w:cs="FrankRuehl"/>
                <w:sz w:val="26"/>
                <w:szCs w:val="26"/>
                <w:rtl/>
              </w:rPr>
              <w:t xml:space="preserve"> וְעַל זִבְחֵי </w:t>
            </w:r>
            <w:proofErr w:type="spellStart"/>
            <w:r w:rsidRPr="00A81FCC">
              <w:rPr>
                <w:rFonts w:ascii="FrankRuehl" w:hAnsi="FrankRuehl" w:cs="FrankRuehl"/>
                <w:sz w:val="26"/>
                <w:szCs w:val="26"/>
                <w:rtl/>
              </w:rPr>
              <w:t>שַׁלְמֵיכֶם</w:t>
            </w:r>
            <w:proofErr w:type="spellEnd"/>
            <w:r w:rsidRPr="00A81FCC">
              <w:rPr>
                <w:rFonts w:ascii="FrankRuehl" w:hAnsi="FrankRuehl" w:cs="FrankRuehl"/>
                <w:sz w:val="26"/>
                <w:szCs w:val="26"/>
                <w:rtl/>
              </w:rPr>
              <w:t>"</w:t>
            </w:r>
            <w:r w:rsidRPr="00FD1AA7">
              <w:rPr>
                <w:rFonts w:ascii="David" w:hAnsi="David" w:cs="David"/>
                <w:rtl/>
              </w:rPr>
              <w:t xml:space="preserve"> </w:t>
            </w:r>
            <w:r w:rsidRPr="00A81FCC">
              <w:rPr>
                <w:rFonts w:ascii="David" w:hAnsi="David" w:cs="David"/>
                <w:sz w:val="20"/>
                <w:szCs w:val="20"/>
                <w:rtl/>
              </w:rPr>
              <w:t>(במדבר י</w:t>
            </w:r>
            <w:r w:rsidRPr="00A81FCC">
              <w:rPr>
                <w:rFonts w:ascii="David" w:hAnsi="David" w:cs="David" w:hint="cs"/>
                <w:sz w:val="20"/>
                <w:szCs w:val="20"/>
                <w:rtl/>
              </w:rPr>
              <w:t>,</w:t>
            </w:r>
            <w:r w:rsidRPr="00A81FCC">
              <w:rPr>
                <w:rFonts w:ascii="David" w:hAnsi="David" w:cs="David"/>
                <w:sz w:val="20"/>
                <w:szCs w:val="20"/>
                <w:rtl/>
              </w:rPr>
              <w:t xml:space="preserve"> </w:t>
            </w:r>
            <w:r w:rsidRPr="00A81FCC">
              <w:rPr>
                <w:rFonts w:ascii="David" w:hAnsi="David" w:cs="David" w:hint="cs"/>
                <w:sz w:val="20"/>
                <w:szCs w:val="20"/>
                <w:rtl/>
              </w:rPr>
              <w:t>ז</w:t>
            </w:r>
            <w:r w:rsidRPr="00A81FCC">
              <w:rPr>
                <w:rFonts w:ascii="David" w:hAnsi="David" w:cs="David"/>
                <w:sz w:val="20"/>
                <w:szCs w:val="20"/>
                <w:rtl/>
              </w:rPr>
              <w:t>-י).</w:t>
            </w:r>
          </w:p>
          <w:p w14:paraId="02CDF7BE" w14:textId="77777777" w:rsidR="00A81FCC" w:rsidRDefault="00A81FCC" w:rsidP="00A81FCC">
            <w:pPr>
              <w:rPr>
                <w:rFonts w:ascii="David" w:hAnsi="David" w:cs="David"/>
                <w:rtl/>
              </w:rPr>
            </w:pPr>
            <w:r w:rsidRPr="00FD1AA7">
              <w:rPr>
                <w:rFonts w:ascii="David" w:hAnsi="David" w:cs="David" w:hint="cs"/>
                <w:rtl/>
              </w:rPr>
              <w:t xml:space="preserve">עיון בפסוקים </w:t>
            </w:r>
            <w:r>
              <w:rPr>
                <w:rFonts w:ascii="David" w:hAnsi="David" w:cs="David" w:hint="cs"/>
                <w:rtl/>
              </w:rPr>
              <w:t>מעלה</w:t>
            </w:r>
            <w:r w:rsidRPr="00FD1AA7">
              <w:rPr>
                <w:rFonts w:ascii="David" w:hAnsi="David" w:cs="David" w:hint="cs"/>
                <w:rtl/>
              </w:rPr>
              <w:t xml:space="preserve"> שתי שאלות משמעותיות. </w:t>
            </w:r>
          </w:p>
          <w:p w14:paraId="32A5DEA9" w14:textId="77777777" w:rsidR="00A81FCC" w:rsidRDefault="00A81FCC" w:rsidP="00A81FCC">
            <w:pPr>
              <w:rPr>
                <w:rFonts w:ascii="David" w:hAnsi="David" w:cs="David"/>
                <w:rtl/>
              </w:rPr>
            </w:pPr>
            <w:r w:rsidRPr="00FD1AA7">
              <w:rPr>
                <w:rFonts w:ascii="David" w:hAnsi="David" w:cs="David" w:hint="cs"/>
                <w:rtl/>
              </w:rPr>
              <w:t xml:space="preserve">א. </w:t>
            </w:r>
            <w:r>
              <w:rPr>
                <w:rFonts w:ascii="David" w:hAnsi="David" w:cs="David" w:hint="cs"/>
                <w:rtl/>
              </w:rPr>
              <w:t xml:space="preserve">מה </w:t>
            </w:r>
            <w:r w:rsidRPr="00E2368E">
              <w:rPr>
                <w:rFonts w:ascii="David" w:hAnsi="David" w:cs="David" w:hint="eastAsia"/>
                <w:rtl/>
              </w:rPr>
              <w:t>הוא</w:t>
            </w:r>
            <w:r w:rsidRPr="00FD1AA7">
              <w:rPr>
                <w:rFonts w:ascii="David" w:hAnsi="David" w:cs="David" w:hint="cs"/>
                <w:rtl/>
              </w:rPr>
              <w:t xml:space="preserve"> </w:t>
            </w:r>
            <w:r w:rsidRPr="00A81FCC">
              <w:rPr>
                <w:rFonts w:ascii="FrankRuehl" w:hAnsi="FrankRuehl" w:cs="FrankRuehl"/>
                <w:b/>
                <w:bCs/>
                <w:sz w:val="26"/>
                <w:szCs w:val="26"/>
                <w:rtl/>
              </w:rPr>
              <w:t>יוֹם שִׂמְחַתְכֶם</w:t>
            </w:r>
            <w:r w:rsidRPr="00FD1AA7">
              <w:rPr>
                <w:rFonts w:ascii="David" w:hAnsi="David" w:cs="David" w:hint="cs"/>
                <w:rtl/>
              </w:rPr>
              <w:t xml:space="preserve">? שהרי ביטוי זה הוא יחידי בכל התנ"ך. </w:t>
            </w:r>
          </w:p>
          <w:p w14:paraId="205BBA70" w14:textId="77777777" w:rsidR="00A81FCC" w:rsidRDefault="00A81FCC" w:rsidP="00A81FCC">
            <w:pPr>
              <w:rPr>
                <w:rFonts w:ascii="David" w:hAnsi="David" w:cs="David"/>
                <w:rtl/>
              </w:rPr>
            </w:pPr>
            <w:r w:rsidRPr="00FD1AA7">
              <w:rPr>
                <w:rFonts w:ascii="David" w:hAnsi="David" w:cs="David" w:hint="cs"/>
                <w:rtl/>
              </w:rPr>
              <w:t xml:space="preserve">ב. </w:t>
            </w:r>
            <w:r w:rsidRPr="00FD1AA7">
              <w:rPr>
                <w:rFonts w:ascii="David" w:hAnsi="David" w:cs="David"/>
                <w:rtl/>
              </w:rPr>
              <w:t>האם יש קשר בין המלחמה הנזכרת</w:t>
            </w:r>
            <w:r>
              <w:rPr>
                <w:rFonts w:ascii="David" w:hAnsi="David" w:cs="David" w:hint="cs"/>
                <w:rtl/>
              </w:rPr>
              <w:t xml:space="preserve"> -</w:t>
            </w:r>
            <w:r w:rsidRPr="00FD1AA7">
              <w:rPr>
                <w:rFonts w:ascii="David" w:hAnsi="David" w:cs="David"/>
                <w:rtl/>
              </w:rPr>
              <w:t xml:space="preserve"> </w:t>
            </w:r>
            <w:r w:rsidRPr="00A81FCC">
              <w:rPr>
                <w:rFonts w:ascii="FrankRuehl" w:hAnsi="FrankRuehl" w:cs="FrankRuehl"/>
                <w:sz w:val="26"/>
                <w:szCs w:val="26"/>
                <w:rtl/>
              </w:rPr>
              <w:t xml:space="preserve">וְכִי </w:t>
            </w:r>
            <w:proofErr w:type="spellStart"/>
            <w:r w:rsidRPr="00A81FCC">
              <w:rPr>
                <w:rFonts w:ascii="FrankRuehl" w:hAnsi="FrankRuehl" w:cs="FrankRuehl"/>
                <w:sz w:val="26"/>
                <w:szCs w:val="26"/>
                <w:rtl/>
              </w:rPr>
              <w:t>תָבֹאו</w:t>
            </w:r>
            <w:proofErr w:type="spellEnd"/>
            <w:r w:rsidRPr="00A81FCC">
              <w:rPr>
                <w:rFonts w:ascii="FrankRuehl" w:hAnsi="FrankRuehl" w:cs="FrankRuehl"/>
                <w:sz w:val="26"/>
                <w:szCs w:val="26"/>
                <w:rtl/>
              </w:rPr>
              <w:t xml:space="preserve">ּ </w:t>
            </w:r>
            <w:r w:rsidRPr="00A81FCC">
              <w:rPr>
                <w:rFonts w:ascii="FrankRuehl" w:hAnsi="FrankRuehl" w:cs="FrankRuehl"/>
                <w:b/>
                <w:bCs/>
                <w:sz w:val="26"/>
                <w:szCs w:val="26"/>
                <w:rtl/>
              </w:rPr>
              <w:t xml:space="preserve">מִלְחָמָה </w:t>
            </w:r>
            <w:r w:rsidRPr="00A81FCC">
              <w:rPr>
                <w:rFonts w:ascii="FrankRuehl" w:hAnsi="FrankRuehl" w:cs="FrankRuehl"/>
                <w:sz w:val="26"/>
                <w:szCs w:val="26"/>
                <w:rtl/>
              </w:rPr>
              <w:t xml:space="preserve">בְּאַרְצְכֶם עַל הַצַּר הַצֹּרֵר אֶתְכֶם לבין </w:t>
            </w:r>
            <w:r w:rsidRPr="00A81FCC">
              <w:rPr>
                <w:rFonts w:ascii="FrankRuehl" w:hAnsi="FrankRuehl" w:cs="FrankRuehl"/>
                <w:b/>
                <w:bCs/>
                <w:sz w:val="26"/>
                <w:szCs w:val="26"/>
                <w:rtl/>
              </w:rPr>
              <w:t>יוֹם שִׂמְחַתְכֶם</w:t>
            </w:r>
            <w:r w:rsidRPr="00A81FCC">
              <w:rPr>
                <w:rFonts w:ascii="FrankRuehl" w:hAnsi="FrankRuehl" w:cs="FrankRuehl"/>
                <w:sz w:val="26"/>
                <w:szCs w:val="26"/>
                <w:rtl/>
              </w:rPr>
              <w:t xml:space="preserve">? </w:t>
            </w:r>
            <w:r w:rsidRPr="00FD1AA7">
              <w:rPr>
                <w:rFonts w:ascii="David" w:hAnsi="David" w:cs="David" w:hint="cs"/>
                <w:rtl/>
              </w:rPr>
              <w:t>אם אכן יש קשר</w:t>
            </w:r>
            <w:r>
              <w:rPr>
                <w:rFonts w:ascii="David" w:hAnsi="David" w:cs="David" w:hint="cs"/>
                <w:rtl/>
              </w:rPr>
              <w:t>,</w:t>
            </w:r>
            <w:r w:rsidRPr="00FD1AA7">
              <w:rPr>
                <w:rFonts w:ascii="David" w:hAnsi="David" w:cs="David" w:hint="cs"/>
                <w:rtl/>
              </w:rPr>
              <w:t xml:space="preserve"> נצטרך להבין כיצד הכאב</w:t>
            </w:r>
            <w:r>
              <w:rPr>
                <w:rFonts w:ascii="David" w:hAnsi="David" w:cs="David" w:hint="cs"/>
                <w:rtl/>
              </w:rPr>
              <w:t>,</w:t>
            </w:r>
            <w:r w:rsidRPr="00FD1AA7">
              <w:rPr>
                <w:rFonts w:ascii="David" w:hAnsi="David" w:cs="David" w:hint="cs"/>
                <w:rtl/>
              </w:rPr>
              <w:t xml:space="preserve"> הכלול בדרך הטבע בכל מלחמה</w:t>
            </w:r>
            <w:r>
              <w:rPr>
                <w:rFonts w:ascii="David" w:hAnsi="David" w:cs="David" w:hint="cs"/>
                <w:rtl/>
              </w:rPr>
              <w:t>,</w:t>
            </w:r>
            <w:r w:rsidRPr="00FD1AA7">
              <w:rPr>
                <w:rFonts w:ascii="David" w:hAnsi="David" w:cs="David" w:hint="cs"/>
                <w:rtl/>
              </w:rPr>
              <w:t xml:space="preserve"> </w:t>
            </w:r>
            <w:r>
              <w:rPr>
                <w:rFonts w:ascii="David" w:hAnsi="David" w:cs="David" w:hint="cs"/>
                <w:rtl/>
              </w:rPr>
              <w:t>דר</w:t>
            </w:r>
            <w:r w:rsidRPr="00FD1AA7">
              <w:rPr>
                <w:rFonts w:ascii="David" w:hAnsi="David" w:cs="David" w:hint="cs"/>
                <w:rtl/>
              </w:rPr>
              <w:t xml:space="preserve"> בשלום עם שמחה. </w:t>
            </w:r>
          </w:p>
          <w:p w14:paraId="7A0C1846" w14:textId="77777777" w:rsidR="00A81FCC" w:rsidRDefault="00A81FCC" w:rsidP="00A81FCC">
            <w:pPr>
              <w:rPr>
                <w:rFonts w:ascii="David" w:hAnsi="David" w:cs="David"/>
                <w:rtl/>
              </w:rPr>
            </w:pPr>
            <w:r w:rsidRPr="00FD1AA7">
              <w:rPr>
                <w:rFonts w:ascii="David" w:hAnsi="David" w:cs="David" w:hint="cs"/>
                <w:rtl/>
              </w:rPr>
              <w:t>חז"ל</w:t>
            </w:r>
            <w:r>
              <w:rPr>
                <w:rFonts w:ascii="David" w:hAnsi="David" w:cs="David" w:hint="cs"/>
                <w:rtl/>
              </w:rPr>
              <w:t>,</w:t>
            </w:r>
            <w:r w:rsidRPr="00FD1AA7">
              <w:rPr>
                <w:rFonts w:ascii="David" w:hAnsi="David" w:cs="David" w:hint="cs"/>
                <w:rtl/>
              </w:rPr>
              <w:t xml:space="preserve"> לכאורה</w:t>
            </w:r>
            <w:r>
              <w:rPr>
                <w:rFonts w:ascii="David" w:hAnsi="David" w:cs="David" w:hint="cs"/>
                <w:rtl/>
              </w:rPr>
              <w:t>,</w:t>
            </w:r>
            <w:r w:rsidRPr="00FD1AA7">
              <w:rPr>
                <w:rFonts w:ascii="David" w:hAnsi="David" w:cs="David" w:hint="cs"/>
                <w:rtl/>
              </w:rPr>
              <w:t xml:space="preserve"> לא התייחסו לשאלת הזיקה שנוצרה בין הפסוקים</w:t>
            </w:r>
            <w:r>
              <w:rPr>
                <w:rFonts w:ascii="David" w:hAnsi="David" w:cs="David" w:hint="cs"/>
                <w:rtl/>
              </w:rPr>
              <w:t>.</w:t>
            </w:r>
            <w:r w:rsidRPr="00FD1AA7">
              <w:rPr>
                <w:rFonts w:ascii="David" w:hAnsi="David" w:cs="David" w:hint="cs"/>
                <w:rtl/>
              </w:rPr>
              <w:t xml:space="preserve"> </w:t>
            </w:r>
          </w:p>
          <w:p w14:paraId="3D0C4179" w14:textId="77777777" w:rsidR="00A81FCC" w:rsidRPr="00FD1AA7" w:rsidRDefault="00A81FCC" w:rsidP="00A81FCC">
            <w:pPr>
              <w:rPr>
                <w:rFonts w:ascii="David" w:hAnsi="David" w:cs="David"/>
                <w:rtl/>
              </w:rPr>
            </w:pPr>
            <w:r w:rsidRPr="00FD1AA7">
              <w:rPr>
                <w:rFonts w:ascii="David" w:hAnsi="David" w:cs="David" w:hint="cs"/>
                <w:rtl/>
              </w:rPr>
              <w:t>אחרי בקשת המחילה נביא את שיטת אבן עזרא</w:t>
            </w:r>
            <w:r>
              <w:rPr>
                <w:rFonts w:ascii="David" w:hAnsi="David" w:cs="David" w:hint="cs"/>
                <w:rtl/>
              </w:rPr>
              <w:t>,</w:t>
            </w:r>
            <w:r w:rsidRPr="00FD1AA7">
              <w:rPr>
                <w:rFonts w:ascii="David" w:hAnsi="David" w:cs="David" w:hint="cs"/>
                <w:rtl/>
              </w:rPr>
              <w:t xml:space="preserve"> ואחר כך נסביר את שיטת חז"ל תוך הבאת ציטוטים משיריו </w:t>
            </w:r>
            <w:r>
              <w:rPr>
                <w:rFonts w:ascii="David" w:hAnsi="David" w:cs="David" w:hint="cs"/>
                <w:rtl/>
              </w:rPr>
              <w:t>ומ</w:t>
            </w:r>
            <w:r w:rsidRPr="00FD1AA7">
              <w:rPr>
                <w:rFonts w:ascii="David" w:hAnsi="David" w:cs="David" w:hint="cs"/>
                <w:rtl/>
              </w:rPr>
              <w:t xml:space="preserve">זמירות השבת שחיבר. ואלו דבריו </w:t>
            </w:r>
            <w:r w:rsidRPr="00A81FCC">
              <w:rPr>
                <w:rFonts w:ascii="David" w:hAnsi="David" w:cs="David" w:hint="cs"/>
                <w:sz w:val="20"/>
                <w:szCs w:val="20"/>
                <w:rtl/>
              </w:rPr>
              <w:t>(שם):</w:t>
            </w:r>
            <w:r w:rsidRPr="00FD1AA7">
              <w:rPr>
                <w:rFonts w:ascii="David" w:hAnsi="David" w:cs="David" w:hint="cs"/>
                <w:rtl/>
              </w:rPr>
              <w:t xml:space="preserve"> "</w:t>
            </w:r>
            <w:r w:rsidRPr="00FD1AA7">
              <w:rPr>
                <w:rFonts w:ascii="David" w:hAnsi="David" w:cs="David"/>
                <w:rtl/>
              </w:rPr>
              <w:t>וביום שמחתכם ובמועדיכם - ששבתם מארץ אויב, או נ</w:t>
            </w:r>
            <w:r w:rsidRPr="00FD1AA7">
              <w:rPr>
                <w:rFonts w:ascii="David" w:hAnsi="David" w:cs="David" w:hint="cs"/>
                <w:rtl/>
              </w:rPr>
              <w:t>י</w:t>
            </w:r>
            <w:r w:rsidRPr="00FD1AA7">
              <w:rPr>
                <w:rFonts w:ascii="David" w:hAnsi="David" w:cs="David"/>
                <w:rtl/>
              </w:rPr>
              <w:t xml:space="preserve">צחתם האויב הבא עליכם וקבעתם יום שמחה כימי פורים </w:t>
            </w:r>
            <w:r w:rsidRPr="00FD1AA7">
              <w:rPr>
                <w:rFonts w:ascii="David" w:hAnsi="David" w:cs="David" w:hint="cs"/>
                <w:rtl/>
              </w:rPr>
              <w:t xml:space="preserve">..." </w:t>
            </w:r>
          </w:p>
          <w:p w14:paraId="1A38852B" w14:textId="77777777" w:rsidR="00A81FCC" w:rsidRDefault="00A81FCC" w:rsidP="00A81FCC">
            <w:pPr>
              <w:rPr>
                <w:rFonts w:ascii="David" w:hAnsi="David" w:cs="David"/>
                <w:rtl/>
              </w:rPr>
            </w:pPr>
            <w:r w:rsidRPr="00FD1AA7">
              <w:rPr>
                <w:rFonts w:ascii="David" w:hAnsi="David" w:cs="David" w:hint="cs"/>
                <w:rtl/>
              </w:rPr>
              <w:t>פשט הכתובים הוא ש</w:t>
            </w:r>
            <w:r>
              <w:rPr>
                <w:rFonts w:ascii="David" w:hAnsi="David" w:cs="David" w:hint="cs"/>
                <w:rtl/>
              </w:rPr>
              <w:t>כש</w:t>
            </w:r>
            <w:r w:rsidRPr="00FD1AA7">
              <w:rPr>
                <w:rFonts w:ascii="David" w:hAnsi="David" w:cs="David" w:hint="cs"/>
                <w:rtl/>
              </w:rPr>
              <w:t xml:space="preserve">פורצת מלחמת מצווה </w:t>
            </w:r>
            <w:r w:rsidRPr="00A81FCC">
              <w:rPr>
                <w:rFonts w:ascii="FrankRuehl" w:hAnsi="FrankRuehl" w:cs="FrankRuehl"/>
                <w:b/>
                <w:bCs/>
                <w:sz w:val="26"/>
                <w:szCs w:val="26"/>
                <w:rtl/>
              </w:rPr>
              <w:t xml:space="preserve">וְכִי </w:t>
            </w:r>
            <w:proofErr w:type="spellStart"/>
            <w:r w:rsidRPr="00A81FCC">
              <w:rPr>
                <w:rFonts w:ascii="FrankRuehl" w:hAnsi="FrankRuehl" w:cs="FrankRuehl"/>
                <w:b/>
                <w:bCs/>
                <w:sz w:val="26"/>
                <w:szCs w:val="26"/>
                <w:rtl/>
              </w:rPr>
              <w:t>תָבֹאו</w:t>
            </w:r>
            <w:proofErr w:type="spellEnd"/>
            <w:r w:rsidRPr="00A81FCC">
              <w:rPr>
                <w:rFonts w:ascii="FrankRuehl" w:hAnsi="FrankRuehl" w:cs="FrankRuehl"/>
                <w:b/>
                <w:bCs/>
                <w:sz w:val="26"/>
                <w:szCs w:val="26"/>
                <w:rtl/>
              </w:rPr>
              <w:t>ּ מִלְחָמָה בְּאַרְצְכֶם עַל הַצַּר הַצֹּרֵר אֶתְכֶם</w:t>
            </w:r>
            <w:r w:rsidRPr="00A81FCC">
              <w:rPr>
                <w:rFonts w:ascii="FrankRuehl" w:hAnsi="FrankRuehl" w:cs="FrankRuehl"/>
                <w:sz w:val="26"/>
                <w:szCs w:val="26"/>
                <w:rtl/>
              </w:rPr>
              <w:t xml:space="preserve">, </w:t>
            </w:r>
            <w:r w:rsidRPr="00FD1AA7">
              <w:rPr>
                <w:rFonts w:ascii="David" w:hAnsi="David" w:cs="David" w:hint="cs"/>
                <w:rtl/>
              </w:rPr>
              <w:t xml:space="preserve">יוצאים כולם, כולל חתן מחדרו וכלה מחופתה, </w:t>
            </w:r>
            <w:r>
              <w:rPr>
                <w:rFonts w:ascii="David" w:hAnsi="David" w:cs="David" w:hint="cs"/>
                <w:rtl/>
              </w:rPr>
              <w:t>ו</w:t>
            </w:r>
            <w:r w:rsidRPr="00FD1AA7">
              <w:rPr>
                <w:rFonts w:ascii="David" w:hAnsi="David" w:cs="David" w:hint="cs"/>
                <w:rtl/>
              </w:rPr>
              <w:t xml:space="preserve">כולל </w:t>
            </w:r>
            <w:proofErr w:type="spellStart"/>
            <w:r w:rsidRPr="00FD1AA7">
              <w:rPr>
                <w:rFonts w:ascii="David" w:hAnsi="David" w:cs="David" w:hint="cs"/>
                <w:rtl/>
              </w:rPr>
              <w:t>הכהנים</w:t>
            </w:r>
            <w:proofErr w:type="spellEnd"/>
            <w:r w:rsidRPr="00FD1AA7">
              <w:rPr>
                <w:rFonts w:ascii="David" w:hAnsi="David" w:cs="David" w:hint="cs"/>
                <w:rtl/>
              </w:rPr>
              <w:t xml:space="preserve"> והלווים</w:t>
            </w:r>
            <w:r>
              <w:rPr>
                <w:rFonts w:ascii="David" w:hAnsi="David" w:cs="David" w:hint="cs"/>
                <w:rtl/>
              </w:rPr>
              <w:t>.</w:t>
            </w:r>
            <w:r w:rsidRPr="00FD1AA7">
              <w:rPr>
                <w:rFonts w:ascii="David" w:hAnsi="David" w:cs="David" w:hint="cs"/>
                <w:rtl/>
              </w:rPr>
              <w:t xml:space="preserve"> אחרי </w:t>
            </w:r>
            <w:r>
              <w:rPr>
                <w:rFonts w:ascii="David" w:hAnsi="David" w:cs="David" w:hint="cs"/>
                <w:rtl/>
              </w:rPr>
              <w:t>ה</w:t>
            </w:r>
            <w:r w:rsidRPr="00FD1AA7">
              <w:rPr>
                <w:rFonts w:ascii="David" w:hAnsi="David" w:cs="David" w:hint="cs"/>
                <w:rtl/>
              </w:rPr>
              <w:t>ניצחון במלחמה</w:t>
            </w:r>
            <w:r>
              <w:rPr>
                <w:rFonts w:ascii="David" w:hAnsi="David" w:cs="David" w:hint="cs"/>
                <w:rtl/>
              </w:rPr>
              <w:t>,</w:t>
            </w:r>
            <w:r w:rsidRPr="00FD1AA7">
              <w:rPr>
                <w:rFonts w:ascii="David" w:hAnsi="David" w:cs="David" w:hint="cs"/>
                <w:rtl/>
              </w:rPr>
              <w:t xml:space="preserve"> יש חובה מדאורייתא לקבוע יום שמחה והודיה לקב"ה</w:t>
            </w:r>
            <w:r>
              <w:rPr>
                <w:rFonts w:ascii="David" w:hAnsi="David" w:cs="David" w:hint="cs"/>
                <w:rtl/>
              </w:rPr>
              <w:t>,</w:t>
            </w:r>
            <w:r w:rsidRPr="00FD1AA7">
              <w:rPr>
                <w:rFonts w:ascii="David" w:hAnsi="David" w:cs="David" w:hint="cs"/>
                <w:rtl/>
              </w:rPr>
              <w:t xml:space="preserve"> על ההצלה הלאומית </w:t>
            </w:r>
            <w:r w:rsidRPr="00A81FCC">
              <w:rPr>
                <w:rFonts w:ascii="David" w:hAnsi="David" w:cs="David" w:hint="cs"/>
                <w:sz w:val="20"/>
                <w:szCs w:val="20"/>
                <w:rtl/>
              </w:rPr>
              <w:t>(</w:t>
            </w:r>
            <w:r w:rsidRPr="00A81FCC">
              <w:rPr>
                <w:rFonts w:ascii="David" w:hAnsi="David" w:cs="David"/>
                <w:sz w:val="20"/>
                <w:szCs w:val="20"/>
                <w:rtl/>
              </w:rPr>
              <w:t>רמז לכך אפשר למצוא בדברי ה"רוקח"</w:t>
            </w:r>
            <w:r w:rsidRPr="00A81FCC">
              <w:rPr>
                <w:rFonts w:ascii="David" w:hAnsi="David" w:cs="David" w:hint="cs"/>
                <w:sz w:val="20"/>
                <w:szCs w:val="20"/>
                <w:rtl/>
              </w:rPr>
              <w:t>,</w:t>
            </w:r>
            <w:r w:rsidRPr="00A81FCC">
              <w:rPr>
                <w:rFonts w:ascii="David" w:hAnsi="David" w:cs="David"/>
                <w:sz w:val="20"/>
                <w:szCs w:val="20"/>
                <w:rtl/>
              </w:rPr>
              <w:t xml:space="preserve"> </w:t>
            </w:r>
            <w:r w:rsidRPr="00A81FCC">
              <w:rPr>
                <w:rFonts w:ascii="David" w:hAnsi="David" w:cs="David" w:hint="cs"/>
                <w:sz w:val="20"/>
                <w:szCs w:val="20"/>
                <w:rtl/>
              </w:rPr>
              <w:t xml:space="preserve">מגדולי הראשונים </w:t>
            </w:r>
            <w:r w:rsidRPr="00A81FCC">
              <w:rPr>
                <w:rFonts w:ascii="David" w:hAnsi="David" w:cs="David"/>
                <w:sz w:val="20"/>
                <w:szCs w:val="20"/>
                <w:rtl/>
              </w:rPr>
              <w:t>בביאורו לסידור</w:t>
            </w:r>
            <w:r w:rsidRPr="00A81FCC">
              <w:rPr>
                <w:rFonts w:ascii="David" w:hAnsi="David" w:cs="David" w:hint="cs"/>
                <w:sz w:val="20"/>
                <w:szCs w:val="20"/>
                <w:rtl/>
              </w:rPr>
              <w:t>,</w:t>
            </w:r>
            <w:r w:rsidRPr="00A81FCC">
              <w:rPr>
                <w:rFonts w:ascii="David" w:hAnsi="David" w:cs="David"/>
                <w:sz w:val="20"/>
                <w:szCs w:val="20"/>
                <w:rtl/>
              </w:rPr>
              <w:t xml:space="preserve"> המעיר כי בפסוק </w:t>
            </w:r>
            <w:r w:rsidRPr="00A81FCC">
              <w:rPr>
                <w:rFonts w:ascii="David" w:hAnsi="David" w:cs="David" w:hint="cs"/>
                <w:sz w:val="20"/>
                <w:szCs w:val="20"/>
                <w:rtl/>
              </w:rPr>
              <w:t>זה</w:t>
            </w:r>
            <w:r w:rsidRPr="00A81FCC">
              <w:rPr>
                <w:rFonts w:ascii="David" w:hAnsi="David" w:cs="David"/>
                <w:sz w:val="20"/>
                <w:szCs w:val="20"/>
                <w:rtl/>
              </w:rPr>
              <w:t xml:space="preserve"> </w:t>
            </w:r>
            <w:r w:rsidRPr="00A81FCC">
              <w:rPr>
                <w:rFonts w:ascii="David" w:hAnsi="David" w:cs="David" w:hint="cs"/>
                <w:sz w:val="20"/>
                <w:szCs w:val="20"/>
                <w:rtl/>
              </w:rPr>
              <w:t xml:space="preserve">(במדבר י, י) </w:t>
            </w:r>
            <w:r w:rsidRPr="00A81FCC">
              <w:rPr>
                <w:rFonts w:ascii="David" w:hAnsi="David" w:cs="David"/>
                <w:sz w:val="20"/>
                <w:szCs w:val="20"/>
                <w:rtl/>
              </w:rPr>
              <w:t>עשרים תיבות [מילים] כמספר התיבות בברכת "תקע בשופר גדול לחירותנו"</w:t>
            </w:r>
            <w:r w:rsidRPr="00A81FCC">
              <w:rPr>
                <w:rFonts w:ascii="David" w:hAnsi="David" w:cs="David" w:hint="cs"/>
                <w:sz w:val="20"/>
                <w:szCs w:val="20"/>
                <w:rtl/>
              </w:rPr>
              <w:t>).</w:t>
            </w:r>
            <w:r w:rsidRPr="00FD1AA7">
              <w:rPr>
                <w:rFonts w:ascii="David" w:hAnsi="David" w:cs="David" w:hint="cs"/>
                <w:rtl/>
              </w:rPr>
              <w:t xml:space="preserve"> ברור שמבחינה לאומית יש להודות ולשמוח</w:t>
            </w:r>
            <w:r>
              <w:rPr>
                <w:rFonts w:ascii="David" w:hAnsi="David" w:cs="David" w:hint="cs"/>
                <w:rtl/>
              </w:rPr>
              <w:t>, שהרי</w:t>
            </w:r>
            <w:r w:rsidRPr="00E2368E">
              <w:rPr>
                <w:rFonts w:ascii="David" w:hAnsi="David" w:cs="David" w:hint="cs"/>
                <w:rtl/>
              </w:rPr>
              <w:t xml:space="preserve"> </w:t>
            </w:r>
            <w:r w:rsidRPr="00FD1AA7">
              <w:rPr>
                <w:rFonts w:ascii="David" w:hAnsi="David" w:cs="David" w:hint="cs"/>
                <w:rtl/>
              </w:rPr>
              <w:t>ללא ניצחון והצלחה במלחמה</w:t>
            </w:r>
            <w:r>
              <w:rPr>
                <w:rFonts w:ascii="David" w:hAnsi="David" w:cs="David" w:hint="cs"/>
                <w:rtl/>
              </w:rPr>
              <w:t>,</w:t>
            </w:r>
            <w:r w:rsidRPr="00FD1AA7">
              <w:rPr>
                <w:rFonts w:ascii="David" w:hAnsi="David" w:cs="David" w:hint="cs"/>
                <w:rtl/>
              </w:rPr>
              <w:t xml:space="preserve"> מספר ההרוגים והנרצחים היה גדול עשרות מונים. </w:t>
            </w:r>
            <w:r>
              <w:rPr>
                <w:rFonts w:ascii="David" w:hAnsi="David" w:cs="David" w:hint="cs"/>
                <w:rtl/>
              </w:rPr>
              <w:t>מובן כי</w:t>
            </w:r>
            <w:r w:rsidRPr="00FD1AA7">
              <w:rPr>
                <w:rFonts w:ascii="David" w:hAnsi="David" w:cs="David" w:hint="cs"/>
                <w:rtl/>
              </w:rPr>
              <w:t xml:space="preserve"> </w:t>
            </w:r>
            <w:r>
              <w:rPr>
                <w:rFonts w:ascii="David" w:hAnsi="David" w:cs="David" w:hint="cs"/>
                <w:rtl/>
              </w:rPr>
              <w:t>השמחה קשה יותר ל</w:t>
            </w:r>
            <w:r w:rsidRPr="00FD1AA7">
              <w:rPr>
                <w:rFonts w:ascii="David" w:hAnsi="David" w:cs="David" w:hint="cs"/>
                <w:rtl/>
              </w:rPr>
              <w:t>אותן משפחות ששילמו מחיר כואב ביותר על הצלת הכלל</w:t>
            </w:r>
            <w:r>
              <w:rPr>
                <w:rFonts w:ascii="David" w:hAnsi="David" w:cs="David" w:hint="cs"/>
                <w:rtl/>
              </w:rPr>
              <w:t>,</w:t>
            </w:r>
            <w:r w:rsidRPr="00FD1AA7">
              <w:rPr>
                <w:rFonts w:ascii="David" w:hAnsi="David" w:cs="David" w:hint="cs"/>
                <w:rtl/>
              </w:rPr>
              <w:t xml:space="preserve"> אם בנופלים ואם בפצועים</w:t>
            </w:r>
            <w:r>
              <w:rPr>
                <w:rFonts w:ascii="David" w:hAnsi="David" w:cs="David" w:hint="cs"/>
                <w:rtl/>
              </w:rPr>
              <w:t>.</w:t>
            </w:r>
            <w:r w:rsidRPr="00FD1AA7">
              <w:rPr>
                <w:rFonts w:ascii="David" w:hAnsi="David" w:cs="David" w:hint="cs"/>
                <w:rtl/>
              </w:rPr>
              <w:t xml:space="preserve"> </w:t>
            </w:r>
          </w:p>
          <w:p w14:paraId="05597DAB" w14:textId="2E7C3222" w:rsidR="00A81FCC" w:rsidRDefault="00A81FCC" w:rsidP="00A81FCC">
            <w:pPr>
              <w:rPr>
                <w:rFonts w:ascii="David" w:hAnsi="David" w:cs="David"/>
                <w:rtl/>
              </w:rPr>
            </w:pPr>
            <w:r w:rsidRPr="00FD1AA7">
              <w:rPr>
                <w:rFonts w:ascii="David" w:hAnsi="David" w:cs="David" w:hint="cs"/>
                <w:rtl/>
              </w:rPr>
              <w:t>מדינת ישראל קבעה</w:t>
            </w:r>
            <w:r>
              <w:rPr>
                <w:rFonts w:ascii="David" w:hAnsi="David" w:cs="David" w:hint="cs"/>
                <w:rtl/>
              </w:rPr>
              <w:t>,</w:t>
            </w:r>
            <w:r w:rsidRPr="00FD1AA7">
              <w:rPr>
                <w:rFonts w:ascii="David" w:hAnsi="David" w:cs="David" w:hint="cs"/>
                <w:rtl/>
              </w:rPr>
              <w:t xml:space="preserve"> </w:t>
            </w:r>
            <w:r>
              <w:rPr>
                <w:rFonts w:ascii="David" w:hAnsi="David" w:cs="David" w:hint="cs"/>
                <w:rtl/>
              </w:rPr>
              <w:t xml:space="preserve">באופן ראוי, </w:t>
            </w:r>
            <w:r w:rsidRPr="00FD1AA7">
              <w:rPr>
                <w:rFonts w:ascii="David" w:hAnsi="David" w:cs="David" w:hint="cs"/>
                <w:rtl/>
              </w:rPr>
              <w:t>א</w:t>
            </w:r>
            <w:r>
              <w:rPr>
                <w:rFonts w:ascii="David" w:hAnsi="David" w:cs="David" w:hint="cs"/>
                <w:rtl/>
              </w:rPr>
              <w:t>ת</w:t>
            </w:r>
            <w:r w:rsidRPr="00FD1AA7">
              <w:rPr>
                <w:rFonts w:ascii="David" w:hAnsi="David" w:cs="David" w:hint="cs"/>
                <w:rtl/>
              </w:rPr>
              <w:t xml:space="preserve"> יום הזיכרון לחללי כוחות הבטחון ונפגעי פעולות האיבה</w:t>
            </w:r>
            <w:r>
              <w:rPr>
                <w:rFonts w:ascii="David" w:hAnsi="David" w:cs="David" w:hint="cs"/>
                <w:rtl/>
              </w:rPr>
              <w:t>,</w:t>
            </w:r>
            <w:r w:rsidRPr="00FD1AA7">
              <w:rPr>
                <w:rFonts w:ascii="David" w:hAnsi="David" w:cs="David" w:hint="cs"/>
                <w:rtl/>
              </w:rPr>
              <w:t xml:space="preserve"> ביום הקודם ליום השמחה וההודאה. כך מכריז הציבור בקול רם - הכאב הוא של כולנו</w:t>
            </w:r>
            <w:r>
              <w:rPr>
                <w:rFonts w:ascii="David" w:hAnsi="David" w:cs="David" w:hint="cs"/>
                <w:rtl/>
              </w:rPr>
              <w:t>!</w:t>
            </w:r>
            <w:r w:rsidRPr="00FD1AA7">
              <w:rPr>
                <w:rFonts w:ascii="David" w:hAnsi="David" w:cs="David" w:hint="cs"/>
                <w:rtl/>
              </w:rPr>
              <w:t xml:space="preserve"> ההודאה ביום שלמחרת כוללת </w:t>
            </w:r>
            <w:r>
              <w:rPr>
                <w:rFonts w:ascii="David" w:hAnsi="David" w:cs="David" w:hint="cs"/>
                <w:rtl/>
              </w:rPr>
              <w:t>שותפות אמת</w:t>
            </w:r>
            <w:r w:rsidRPr="00FD1AA7">
              <w:rPr>
                <w:rFonts w:ascii="David" w:hAnsi="David" w:cs="David" w:hint="cs"/>
                <w:rtl/>
              </w:rPr>
              <w:t xml:space="preserve"> בצער</w:t>
            </w:r>
            <w:r>
              <w:rPr>
                <w:rFonts w:ascii="David" w:hAnsi="David" w:cs="David" w:hint="cs"/>
                <w:rtl/>
              </w:rPr>
              <w:t>,</w:t>
            </w:r>
            <w:r w:rsidRPr="00FD1AA7">
              <w:rPr>
                <w:rFonts w:ascii="David" w:hAnsi="David" w:cs="David" w:hint="cs"/>
                <w:rtl/>
              </w:rPr>
              <w:t xml:space="preserve"> שיש בה על פי מסורת ישראל גם נחמה</w:t>
            </w:r>
            <w:r>
              <w:rPr>
                <w:rFonts w:ascii="David" w:hAnsi="David" w:cs="David" w:hint="cs"/>
                <w:rtl/>
              </w:rPr>
              <w:t>, ו</w:t>
            </w:r>
            <w:r w:rsidRPr="00FD1AA7">
              <w:rPr>
                <w:rFonts w:ascii="David" w:hAnsi="David" w:cs="David" w:hint="cs"/>
                <w:rtl/>
              </w:rPr>
              <w:t>איננה סותרת את כאבם הפרטי של המשפחות ששילמו מחיר כה יקר</w:t>
            </w:r>
            <w:r>
              <w:rPr>
                <w:rFonts w:ascii="David" w:hAnsi="David" w:cs="David" w:hint="cs"/>
                <w:rtl/>
              </w:rPr>
              <w:t>.</w:t>
            </w:r>
            <w:r w:rsidRPr="00FD1AA7">
              <w:rPr>
                <w:rFonts w:ascii="David" w:hAnsi="David" w:cs="David" w:hint="cs"/>
                <w:rtl/>
              </w:rPr>
              <w:t xml:space="preserve"> </w:t>
            </w:r>
          </w:p>
          <w:p w14:paraId="5536C1B1" w14:textId="77777777" w:rsidR="00A81FCC" w:rsidRDefault="00A81FCC" w:rsidP="00A81FCC">
            <w:pPr>
              <w:rPr>
                <w:rFonts w:ascii="David" w:hAnsi="David" w:cs="David"/>
                <w:rtl/>
              </w:rPr>
            </w:pPr>
            <w:r w:rsidRPr="00FD1AA7">
              <w:rPr>
                <w:rFonts w:ascii="David" w:hAnsi="David" w:cs="David" w:hint="cs"/>
                <w:rtl/>
              </w:rPr>
              <w:t>כל מי שאיננו מצטער וכל מי שאיננו שמח ומודה</w:t>
            </w:r>
            <w:r>
              <w:rPr>
                <w:rFonts w:ascii="David" w:hAnsi="David" w:cs="David" w:hint="cs"/>
                <w:rtl/>
              </w:rPr>
              <w:t>,</w:t>
            </w:r>
            <w:r w:rsidRPr="00FD1AA7">
              <w:rPr>
                <w:rFonts w:ascii="David" w:hAnsi="David" w:cs="David" w:hint="cs"/>
                <w:rtl/>
              </w:rPr>
              <w:t xml:space="preserve"> פורש מן הציבור, עם כל המשמעות שיש לכך</w:t>
            </w:r>
            <w:r>
              <w:rPr>
                <w:rFonts w:ascii="David" w:hAnsi="David" w:cs="David" w:hint="cs"/>
                <w:rtl/>
              </w:rPr>
              <w:t>,</w:t>
            </w:r>
            <w:r w:rsidRPr="00FD1AA7">
              <w:rPr>
                <w:rFonts w:ascii="David" w:hAnsi="David" w:cs="David" w:hint="cs"/>
                <w:rtl/>
              </w:rPr>
              <w:t xml:space="preserve"> ומסתכן במעבר על איסורי תורה. </w:t>
            </w:r>
          </w:p>
          <w:p w14:paraId="15631E79" w14:textId="77777777" w:rsidR="00A81FCC" w:rsidRPr="00A81FCC" w:rsidRDefault="00A81FCC" w:rsidP="00A81FCC">
            <w:pPr>
              <w:rPr>
                <w:rFonts w:ascii="David" w:hAnsi="David" w:cs="David"/>
                <w:sz w:val="12"/>
                <w:szCs w:val="12"/>
                <w:rtl/>
              </w:rPr>
            </w:pPr>
          </w:p>
          <w:p w14:paraId="30B18276" w14:textId="6D9C0470" w:rsidR="00A81FCC" w:rsidRPr="00FD1AA7" w:rsidRDefault="00A81FCC" w:rsidP="00A81FCC">
            <w:pPr>
              <w:rPr>
                <w:rFonts w:ascii="David" w:hAnsi="David" w:cs="David"/>
                <w:rtl/>
              </w:rPr>
            </w:pPr>
            <w:r w:rsidRPr="00FD1AA7">
              <w:rPr>
                <w:rFonts w:ascii="David" w:hAnsi="David" w:cs="David" w:hint="cs"/>
                <w:rtl/>
              </w:rPr>
              <w:t>אם כך</w:t>
            </w:r>
            <w:r>
              <w:rPr>
                <w:rFonts w:ascii="David" w:hAnsi="David" w:cs="David" w:hint="cs"/>
                <w:rtl/>
              </w:rPr>
              <w:t>,</w:t>
            </w:r>
            <w:r w:rsidRPr="00FD1AA7">
              <w:rPr>
                <w:rFonts w:ascii="David" w:hAnsi="David" w:cs="David" w:hint="cs"/>
                <w:rtl/>
              </w:rPr>
              <w:t xml:space="preserve"> ענינו על שתי השאלות</w:t>
            </w:r>
            <w:r>
              <w:rPr>
                <w:rFonts w:ascii="David" w:hAnsi="David" w:cs="David" w:hint="cs"/>
                <w:rtl/>
              </w:rPr>
              <w:t>.</w:t>
            </w:r>
            <w:r w:rsidRPr="00FD1AA7">
              <w:rPr>
                <w:rFonts w:ascii="David" w:hAnsi="David" w:cs="David" w:hint="cs"/>
                <w:rtl/>
              </w:rPr>
              <w:t xml:space="preserve"> </w:t>
            </w:r>
            <w:r w:rsidRPr="00A81FCC">
              <w:rPr>
                <w:rFonts w:ascii="FrankRuehl" w:hAnsi="FrankRuehl" w:cs="FrankRuehl"/>
                <w:b/>
                <w:bCs/>
                <w:sz w:val="26"/>
                <w:szCs w:val="26"/>
                <w:rtl/>
              </w:rPr>
              <w:t xml:space="preserve">יוֹם שִׂמְחַתְכֶם </w:t>
            </w:r>
            <w:r w:rsidRPr="00FD1AA7">
              <w:rPr>
                <w:rFonts w:ascii="David" w:hAnsi="David" w:cs="David" w:hint="cs"/>
                <w:b/>
                <w:bCs/>
                <w:rtl/>
              </w:rPr>
              <w:t>הוא יום העצמאות ויום שחרור ירושלים</w:t>
            </w:r>
            <w:r>
              <w:rPr>
                <w:rFonts w:ascii="David" w:hAnsi="David" w:cs="David" w:hint="cs"/>
                <w:b/>
                <w:bCs/>
                <w:rtl/>
              </w:rPr>
              <w:t>,</w:t>
            </w:r>
            <w:r w:rsidRPr="00FD1AA7">
              <w:rPr>
                <w:rFonts w:ascii="David" w:hAnsi="David" w:cs="David" w:hint="cs"/>
                <w:b/>
                <w:bCs/>
                <w:rtl/>
              </w:rPr>
              <w:t xml:space="preserve"> </w:t>
            </w:r>
            <w:r>
              <w:rPr>
                <w:rFonts w:ascii="David" w:hAnsi="David" w:cs="David" w:hint="cs"/>
                <w:rtl/>
              </w:rPr>
              <w:t>ש</w:t>
            </w:r>
            <w:r w:rsidRPr="00FD1AA7">
              <w:rPr>
                <w:rFonts w:ascii="David" w:hAnsi="David" w:cs="David" w:hint="cs"/>
                <w:rtl/>
              </w:rPr>
              <w:t xml:space="preserve">בהם צריך להודות על כל הניצחונות בכל המערכות שמדינת ישראל זכתה להם בדור האחרון. </w:t>
            </w:r>
            <w:r>
              <w:rPr>
                <w:rFonts w:ascii="David" w:hAnsi="David" w:cs="David" w:hint="cs"/>
                <w:rtl/>
              </w:rPr>
              <w:t>נוסיף</w:t>
            </w:r>
            <w:r w:rsidRPr="00FD1AA7">
              <w:rPr>
                <w:rFonts w:ascii="David" w:hAnsi="David" w:cs="David" w:hint="cs"/>
                <w:rtl/>
              </w:rPr>
              <w:t xml:space="preserve"> גם את הניצחונות על איראן וארגוני הטרור החוסים בצילה, גם אם עדיין </w:t>
            </w:r>
            <w:r>
              <w:rPr>
                <w:rFonts w:ascii="David" w:hAnsi="David" w:cs="David" w:hint="cs"/>
                <w:rtl/>
              </w:rPr>
              <w:t>המלחמה לא הוכרעה בניצחון באופן מוחלט</w:t>
            </w:r>
            <w:r w:rsidRPr="00FD1AA7">
              <w:rPr>
                <w:rFonts w:ascii="David" w:hAnsi="David" w:cs="David" w:hint="cs"/>
                <w:rtl/>
              </w:rPr>
              <w:t xml:space="preserve">. יום הזיכרון לחללי כל </w:t>
            </w:r>
            <w:r>
              <w:rPr>
                <w:rFonts w:ascii="David" w:hAnsi="David" w:cs="David" w:hint="cs"/>
                <w:rtl/>
              </w:rPr>
              <w:t>מערכות ישראל</w:t>
            </w:r>
            <w:r w:rsidRPr="00FD1AA7">
              <w:rPr>
                <w:rFonts w:ascii="David" w:hAnsi="David" w:cs="David" w:hint="cs"/>
                <w:rtl/>
              </w:rPr>
              <w:t xml:space="preserve"> הוא חלק בלתי נפרד מימים אלה. הקב"ה גלגל את </w:t>
            </w:r>
            <w:r>
              <w:rPr>
                <w:rFonts w:ascii="David" w:hAnsi="David" w:cs="David" w:hint="cs"/>
                <w:rtl/>
              </w:rPr>
              <w:t>תחולת מועדים</w:t>
            </w:r>
            <w:r w:rsidRPr="00FD1AA7">
              <w:rPr>
                <w:rFonts w:ascii="David" w:hAnsi="David" w:cs="David" w:hint="cs"/>
                <w:rtl/>
              </w:rPr>
              <w:t xml:space="preserve"> אלה בין פסח </w:t>
            </w:r>
            <w:r>
              <w:rPr>
                <w:rFonts w:ascii="David" w:hAnsi="David" w:cs="David" w:hint="cs"/>
                <w:rtl/>
              </w:rPr>
              <w:t xml:space="preserve">= </w:t>
            </w:r>
            <w:r w:rsidRPr="00FD1AA7">
              <w:rPr>
                <w:rFonts w:ascii="David" w:hAnsi="David" w:cs="David" w:hint="cs"/>
                <w:rtl/>
              </w:rPr>
              <w:t>חג העצמאות הראשון מעבדות לחירות</w:t>
            </w:r>
            <w:r>
              <w:rPr>
                <w:rFonts w:ascii="David" w:hAnsi="David" w:cs="David" w:hint="cs"/>
                <w:rtl/>
              </w:rPr>
              <w:t>,</w:t>
            </w:r>
            <w:r w:rsidRPr="00FD1AA7">
              <w:rPr>
                <w:rFonts w:ascii="David" w:hAnsi="David" w:cs="David" w:hint="cs"/>
                <w:rtl/>
              </w:rPr>
              <w:t xml:space="preserve"> לבין שבועות</w:t>
            </w:r>
            <w:r>
              <w:rPr>
                <w:rFonts w:ascii="David" w:hAnsi="David" w:cs="David" w:hint="cs"/>
                <w:rtl/>
              </w:rPr>
              <w:t xml:space="preserve"> =</w:t>
            </w:r>
            <w:r w:rsidRPr="00FD1AA7">
              <w:rPr>
                <w:rFonts w:ascii="David" w:hAnsi="David" w:cs="David" w:hint="cs"/>
                <w:rtl/>
              </w:rPr>
              <w:t xml:space="preserve"> חג החירות הרוחנית</w:t>
            </w:r>
            <w:r>
              <w:rPr>
                <w:rFonts w:ascii="David" w:hAnsi="David" w:cs="David" w:hint="cs"/>
                <w:rtl/>
              </w:rPr>
              <w:t>,</w:t>
            </w:r>
            <w:r w:rsidRPr="00FD1AA7">
              <w:rPr>
                <w:rFonts w:ascii="David" w:hAnsi="David" w:cs="David" w:hint="cs"/>
                <w:rtl/>
              </w:rPr>
              <w:t xml:space="preserve"> שהרי אין לך בן חורין אלא מי שקיבל את התורה.</w:t>
            </w:r>
          </w:p>
          <w:p w14:paraId="24E6B692" w14:textId="77777777" w:rsidR="00A81FCC" w:rsidRPr="00F33428" w:rsidRDefault="00A81FCC" w:rsidP="00A81FCC">
            <w:pPr>
              <w:rPr>
                <w:rFonts w:ascii="David" w:hAnsi="David" w:cs="David"/>
                <w:sz w:val="14"/>
                <w:szCs w:val="14"/>
                <w:rtl/>
              </w:rPr>
            </w:pPr>
          </w:p>
          <w:p w14:paraId="41F6C060" w14:textId="77777777" w:rsidR="00A81FCC" w:rsidRDefault="00A81FCC" w:rsidP="00A81FCC">
            <w:pPr>
              <w:rPr>
                <w:rFonts w:ascii="David" w:hAnsi="David" w:cs="David"/>
                <w:rtl/>
              </w:rPr>
            </w:pPr>
            <w:r w:rsidRPr="00FD1AA7">
              <w:rPr>
                <w:rFonts w:ascii="David" w:hAnsi="David" w:cs="David" w:hint="cs"/>
                <w:rtl/>
              </w:rPr>
              <w:t>בשבוע הבא נמשיך לברר</w:t>
            </w:r>
            <w:r>
              <w:rPr>
                <w:rFonts w:ascii="David" w:hAnsi="David" w:cs="David" w:hint="cs"/>
                <w:rtl/>
              </w:rPr>
              <w:t>,</w:t>
            </w:r>
            <w:r w:rsidRPr="00FD1AA7">
              <w:rPr>
                <w:rFonts w:ascii="David" w:hAnsi="David" w:cs="David" w:hint="cs"/>
                <w:rtl/>
              </w:rPr>
              <w:t xml:space="preserve"> בע"ה</w:t>
            </w:r>
            <w:r>
              <w:rPr>
                <w:rFonts w:ascii="David" w:hAnsi="David" w:cs="David" w:hint="cs"/>
                <w:rtl/>
              </w:rPr>
              <w:t>,</w:t>
            </w:r>
            <w:r w:rsidRPr="00FD1AA7">
              <w:rPr>
                <w:rFonts w:ascii="David" w:hAnsi="David" w:cs="David" w:hint="cs"/>
                <w:rtl/>
              </w:rPr>
              <w:t xml:space="preserve"> את שיטת חז"ל</w:t>
            </w:r>
            <w:r>
              <w:rPr>
                <w:rFonts w:ascii="David" w:hAnsi="David" w:cs="David" w:hint="cs"/>
                <w:rtl/>
              </w:rPr>
              <w:t>,</w:t>
            </w:r>
            <w:r w:rsidRPr="00FD1AA7">
              <w:rPr>
                <w:rFonts w:ascii="David" w:hAnsi="David" w:cs="David" w:hint="cs"/>
                <w:rtl/>
              </w:rPr>
              <w:t xml:space="preserve"> ונדון בשאלה</w:t>
            </w:r>
            <w:r>
              <w:rPr>
                <w:rFonts w:ascii="David" w:hAnsi="David" w:cs="David" w:hint="cs"/>
                <w:rtl/>
              </w:rPr>
              <w:t>:</w:t>
            </w:r>
            <w:r w:rsidRPr="00FD1AA7">
              <w:rPr>
                <w:rFonts w:ascii="David" w:hAnsi="David" w:cs="David" w:hint="cs"/>
                <w:rtl/>
              </w:rPr>
              <w:t xml:space="preserve"> האם יש סתירה בין קדושה ושמחה</w:t>
            </w:r>
            <w:r>
              <w:rPr>
                <w:rFonts w:ascii="David" w:hAnsi="David" w:cs="David" w:hint="cs"/>
                <w:rtl/>
              </w:rPr>
              <w:t xml:space="preserve">? </w:t>
            </w:r>
          </w:p>
          <w:p w14:paraId="20324D97" w14:textId="77777777" w:rsidR="00F33428" w:rsidRPr="00F33428" w:rsidRDefault="00F33428" w:rsidP="00A81FCC">
            <w:pPr>
              <w:rPr>
                <w:rFonts w:ascii="David" w:hAnsi="David" w:cs="David"/>
                <w:sz w:val="14"/>
                <w:szCs w:val="14"/>
                <w:rtl/>
              </w:rPr>
            </w:pPr>
          </w:p>
          <w:p w14:paraId="323F0BB3" w14:textId="1422F784" w:rsidR="00A81FCC" w:rsidRDefault="00A81FCC" w:rsidP="00F33428">
            <w:pPr>
              <w:jc w:val="center"/>
              <w:rPr>
                <w:rFonts w:ascii="David" w:hAnsi="David" w:cs="David"/>
                <w:rtl/>
              </w:rPr>
            </w:pPr>
            <w:r>
              <w:rPr>
                <w:rFonts w:ascii="David" w:hAnsi="David" w:cs="David" w:hint="cs"/>
                <w:rtl/>
              </w:rPr>
              <w:t>נתפלל כי נזכה לשמוע עוד בשורות טובות במישור הלאומי, שתבואנה לידי ביטוי גם בשופרות וחצוצרות של שמחה והודאה.</w:t>
            </w:r>
          </w:p>
          <w:p w14:paraId="34D1FF68" w14:textId="77777777" w:rsidR="00F33428" w:rsidRDefault="00A81FCC" w:rsidP="00F33428">
            <w:pPr>
              <w:jc w:val="center"/>
              <w:rPr>
                <w:rFonts w:ascii="David" w:hAnsi="David" w:cs="David"/>
                <w:rtl/>
              </w:rPr>
            </w:pPr>
            <w:r>
              <w:rPr>
                <w:rFonts w:ascii="David" w:hAnsi="David" w:cs="David" w:hint="cs"/>
                <w:rtl/>
              </w:rPr>
              <w:t xml:space="preserve">נאחל לתושבי הצפון שקט ושלווה, </w:t>
            </w:r>
          </w:p>
          <w:p w14:paraId="37B0B04A" w14:textId="1C7E500F" w:rsidR="00A81FCC" w:rsidRPr="00FD1AA7" w:rsidRDefault="00A81FCC" w:rsidP="00F33428">
            <w:pPr>
              <w:spacing w:line="360" w:lineRule="auto"/>
              <w:jc w:val="center"/>
              <w:rPr>
                <w:rFonts w:ascii="David" w:hAnsi="David" w:cs="David"/>
                <w:rtl/>
              </w:rPr>
            </w:pPr>
            <w:r>
              <w:rPr>
                <w:rFonts w:ascii="David" w:hAnsi="David" w:cs="David" w:hint="cs"/>
                <w:rtl/>
              </w:rPr>
              <w:t xml:space="preserve">ומפלה סופית למחבלי החיזבאללה שחרתו על דגלם רצח ושפלות ולכן מצווה רבה להורידם מטה </w:t>
            </w:r>
            <w:proofErr w:type="spellStart"/>
            <w:r>
              <w:rPr>
                <w:rFonts w:ascii="David" w:hAnsi="David" w:cs="David" w:hint="cs"/>
                <w:rtl/>
              </w:rPr>
              <w:t>מטה</w:t>
            </w:r>
            <w:proofErr w:type="spellEnd"/>
            <w:r>
              <w:rPr>
                <w:rFonts w:ascii="David" w:hAnsi="David" w:cs="David" w:hint="cs"/>
                <w:rtl/>
              </w:rPr>
              <w:t>.</w:t>
            </w:r>
          </w:p>
          <w:p w14:paraId="7A3BC073" w14:textId="6388ECEF" w:rsidR="008E207D" w:rsidRDefault="008E207D" w:rsidP="000865B7">
            <w:pPr>
              <w:spacing w:line="360" w:lineRule="auto"/>
              <w:jc w:val="center"/>
              <w:rPr>
                <w:rFonts w:ascii="David" w:hAnsi="David" w:cs="David"/>
                <w:color w:val="0000FF"/>
                <w:u w:val="single"/>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F365956" w14:textId="5F6ACBBE" w:rsidR="009C1995" w:rsidRPr="009C1995" w:rsidRDefault="009C1995" w:rsidP="002E79E9">
            <w:pPr>
              <w:rPr>
                <w:rFonts w:ascii="David" w:hAnsi="David" w:cs="David"/>
                <w:color w:val="0000FF"/>
                <w:sz w:val="20"/>
                <w:szCs w:val="20"/>
                <w:u w:val="single"/>
                <w:rtl/>
              </w:rPr>
            </w:pPr>
          </w:p>
        </w:tc>
      </w:tr>
    </w:tbl>
    <w:bookmarkEnd w:id="2"/>
    <w:p w14:paraId="4D640159" w14:textId="49DD5BCA" w:rsidR="007B7A4E" w:rsidRPr="00CD712C" w:rsidRDefault="009C178E"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110F0104">
            <wp:simplePos x="0" y="0"/>
            <wp:positionH relativeFrom="margin">
              <wp:posOffset>-241935</wp:posOffset>
            </wp:positionH>
            <wp:positionV relativeFrom="paragraph">
              <wp:posOffset>6976110</wp:posOffset>
            </wp:positionV>
            <wp:extent cx="7513320" cy="2257425"/>
            <wp:effectExtent l="0" t="0" r="0" b="952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3320" cy="2257425"/>
                    </a:xfrm>
                    <a:prstGeom prst="rect">
                      <a:avLst/>
                    </a:prstGeom>
                    <a:noFill/>
                  </pic:spPr>
                </pic:pic>
              </a:graphicData>
            </a:graphic>
            <wp14:sizeRelH relativeFrom="page">
              <wp14:pctWidth>0</wp14:pctWidth>
            </wp14:sizeRelH>
            <wp14:sizeRelV relativeFrom="page">
              <wp14:pctHeight>0</wp14:pctHeight>
            </wp14:sizeRelV>
          </wp:anchor>
        </w:drawing>
      </w:r>
    </w:p>
    <w:p w14:paraId="4ED120B5" w14:textId="23566F39" w:rsidR="00C110AA" w:rsidRPr="00C110AA" w:rsidRDefault="00C110AA" w:rsidP="0015428A">
      <w:pPr>
        <w:contextualSpacing/>
        <w:jc w:val="center"/>
        <w:rPr>
          <w:rFonts w:ascii="Arial" w:eastAsia="Calibri" w:hAnsi="Arial" w:cs="Arial"/>
          <w:b/>
          <w:bCs/>
          <w:color w:val="C00000"/>
          <w:sz w:val="6"/>
          <w:szCs w:val="6"/>
          <w:rtl/>
        </w:rPr>
      </w:pPr>
    </w:p>
    <w:p w14:paraId="02D9354C" w14:textId="3714D1B3" w:rsidR="009C1995" w:rsidRDefault="009C1995" w:rsidP="0015428A">
      <w:pPr>
        <w:contextualSpacing/>
        <w:jc w:val="center"/>
        <w:rPr>
          <w:rFonts w:ascii="Arial" w:eastAsia="Calibri" w:hAnsi="Arial" w:cs="Arial"/>
          <w:b/>
          <w:bCs/>
          <w:color w:val="C00000"/>
          <w:sz w:val="17"/>
          <w:szCs w:val="17"/>
          <w:rtl/>
        </w:rPr>
      </w:pPr>
    </w:p>
    <w:p w14:paraId="4BBF26B7" w14:textId="77777777" w:rsidR="005C57F1" w:rsidRPr="005C57F1" w:rsidRDefault="005C57F1" w:rsidP="0015428A">
      <w:pPr>
        <w:contextualSpacing/>
        <w:jc w:val="center"/>
        <w:rPr>
          <w:rFonts w:ascii="Arial" w:eastAsia="Calibri" w:hAnsi="Arial" w:cs="Arial"/>
          <w:b/>
          <w:bCs/>
          <w:color w:val="C00000"/>
          <w:sz w:val="10"/>
          <w:szCs w:val="10"/>
          <w:rtl/>
        </w:rPr>
      </w:pPr>
    </w:p>
    <w:tbl>
      <w:tblPr>
        <w:tblpPr w:leftFromText="180" w:rightFromText="180" w:vertAnchor="text" w:horzAnchor="margin" w:tblpY="-3241"/>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39"/>
        <w:gridCol w:w="156"/>
        <w:gridCol w:w="553"/>
        <w:gridCol w:w="846"/>
        <w:gridCol w:w="148"/>
        <w:gridCol w:w="430"/>
        <w:gridCol w:w="149"/>
        <w:gridCol w:w="553"/>
        <w:gridCol w:w="18"/>
        <w:gridCol w:w="268"/>
        <w:gridCol w:w="10"/>
        <w:gridCol w:w="703"/>
        <w:gridCol w:w="279"/>
        <w:gridCol w:w="1427"/>
        <w:gridCol w:w="271"/>
        <w:gridCol w:w="144"/>
        <w:gridCol w:w="1145"/>
        <w:gridCol w:w="1265"/>
        <w:gridCol w:w="148"/>
        <w:gridCol w:w="293"/>
      </w:tblGrid>
      <w:tr w:rsidR="009C178E" w:rsidRPr="00A6414A" w14:paraId="2DCEE898" w14:textId="77777777" w:rsidTr="003D2181">
        <w:trPr>
          <w:trHeight w:val="273"/>
        </w:trPr>
        <w:tc>
          <w:tcPr>
            <w:tcW w:w="3792" w:type="dxa"/>
            <w:gridSpan w:val="6"/>
            <w:tcMar>
              <w:top w:w="0" w:type="dxa"/>
              <w:left w:w="108" w:type="dxa"/>
              <w:bottom w:w="0" w:type="dxa"/>
              <w:right w:w="108" w:type="dxa"/>
            </w:tcMar>
            <w:vAlign w:val="center"/>
          </w:tcPr>
          <w:p w14:paraId="4BD4BC42" w14:textId="77777777" w:rsidR="009C178E" w:rsidRPr="00A6414A" w:rsidRDefault="009C178E" w:rsidP="00A673C8">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3B471CFF" w14:textId="77777777" w:rsidR="009C178E" w:rsidRPr="00A6414A" w:rsidRDefault="009C178E" w:rsidP="00A673C8">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3230477E" w14:textId="77777777" w:rsidR="009C178E" w:rsidRPr="00A6414A" w:rsidRDefault="009C178E" w:rsidP="00A673C8">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7"/>
            <w:vAlign w:val="center"/>
          </w:tcPr>
          <w:p w14:paraId="013372FC" w14:textId="77777777" w:rsidR="009C178E" w:rsidRPr="00A6414A" w:rsidRDefault="009C178E" w:rsidP="00A673C8">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9C178E" w:rsidRPr="00A6414A" w14:paraId="1C5074D2" w14:textId="77777777" w:rsidTr="003D2181">
        <w:trPr>
          <w:trHeight w:val="273"/>
        </w:trPr>
        <w:tc>
          <w:tcPr>
            <w:tcW w:w="1816" w:type="dxa"/>
            <w:tcMar>
              <w:top w:w="0" w:type="dxa"/>
              <w:left w:w="108" w:type="dxa"/>
              <w:bottom w:w="0" w:type="dxa"/>
              <w:right w:w="108" w:type="dxa"/>
            </w:tcMar>
            <w:vAlign w:val="center"/>
          </w:tcPr>
          <w:p w14:paraId="75BDC7CA" w14:textId="77777777" w:rsidR="009C178E" w:rsidRPr="00A6414A" w:rsidRDefault="009C178E" w:rsidP="00A673C8">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CA67B0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69CB3161" w14:textId="77777777" w:rsidR="009C178E" w:rsidRPr="00A6414A" w:rsidRDefault="009C178E" w:rsidP="00A673C8">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3325505"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5"/>
            <w:vAlign w:val="center"/>
          </w:tcPr>
          <w:p w14:paraId="2CF4612E" w14:textId="77777777" w:rsidR="009C178E" w:rsidRPr="00A6414A" w:rsidRDefault="009C178E" w:rsidP="00A673C8">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640FCAD" w14:textId="77777777" w:rsidR="009C178E" w:rsidRPr="00A6414A" w:rsidRDefault="009C178E" w:rsidP="00A673C8">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2"/>
            <w:vAlign w:val="center"/>
          </w:tcPr>
          <w:p w14:paraId="762A3FF4"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DE45BF1"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3"/>
            <w:vAlign w:val="center"/>
          </w:tcPr>
          <w:p w14:paraId="4CA80065"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64240658" w14:textId="77777777" w:rsidR="009C178E" w:rsidRPr="00A6414A" w:rsidRDefault="009C178E" w:rsidP="00A673C8">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55144E23"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7066B56"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9C178E" w:rsidRPr="00A6414A" w14:paraId="6B9F4607" w14:textId="77777777" w:rsidTr="003D2181">
        <w:trPr>
          <w:trHeight w:val="427"/>
        </w:trPr>
        <w:tc>
          <w:tcPr>
            <w:tcW w:w="2237" w:type="dxa"/>
            <w:gridSpan w:val="3"/>
            <w:tcMar>
              <w:top w:w="0" w:type="dxa"/>
              <w:left w:w="108" w:type="dxa"/>
              <w:bottom w:w="0" w:type="dxa"/>
              <w:right w:w="108" w:type="dxa"/>
            </w:tcMar>
            <w:vAlign w:val="center"/>
            <w:hideMark/>
          </w:tcPr>
          <w:p w14:paraId="559E6711" w14:textId="77777777" w:rsidR="009C178E" w:rsidRPr="00A6414A" w:rsidRDefault="009C178E" w:rsidP="00A673C8">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38E4DBA8"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CB85C3" w14:textId="77777777" w:rsidR="009C178E" w:rsidRPr="00A6414A" w:rsidRDefault="009C178E" w:rsidP="00A673C8">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20D7597E" w14:textId="77777777" w:rsidR="009C178E" w:rsidRPr="00A6414A" w:rsidRDefault="009C178E" w:rsidP="00A673C8">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8"/>
            <w:vAlign w:val="center"/>
            <w:hideMark/>
          </w:tcPr>
          <w:p w14:paraId="0090ED7A" w14:textId="77777777" w:rsidR="009C178E" w:rsidRPr="00A6414A" w:rsidRDefault="009C178E" w:rsidP="00A673C8">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2F3055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6"/>
            <w:tcMar>
              <w:top w:w="0" w:type="dxa"/>
              <w:left w:w="108" w:type="dxa"/>
              <w:bottom w:w="0" w:type="dxa"/>
              <w:right w:w="108" w:type="dxa"/>
            </w:tcMar>
            <w:vAlign w:val="center"/>
          </w:tcPr>
          <w:p w14:paraId="5021826C" w14:textId="77777777" w:rsidR="009C178E" w:rsidRPr="00A6414A" w:rsidRDefault="009C178E" w:rsidP="00A673C8">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30955309"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9C178E" w:rsidRPr="00A6414A" w14:paraId="516545BA" w14:textId="77777777" w:rsidTr="003D2181">
        <w:trPr>
          <w:trHeight w:val="431"/>
        </w:trPr>
        <w:tc>
          <w:tcPr>
            <w:tcW w:w="2098" w:type="dxa"/>
            <w:gridSpan w:val="2"/>
            <w:tcMar>
              <w:top w:w="0" w:type="dxa"/>
              <w:left w:w="108" w:type="dxa"/>
              <w:bottom w:w="0" w:type="dxa"/>
              <w:right w:w="108" w:type="dxa"/>
            </w:tcMar>
            <w:vAlign w:val="center"/>
          </w:tcPr>
          <w:p w14:paraId="584E5880"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50A61E4F" w14:textId="77777777" w:rsidR="009C178E" w:rsidRPr="00A6414A" w:rsidRDefault="009C178E" w:rsidP="00A673C8">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0FE5A78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7859807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1CA18669" w14:textId="77777777" w:rsidR="009C178E" w:rsidRPr="00A6414A" w:rsidRDefault="009C178E" w:rsidP="00A673C8">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7BAE1A5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6134B41F" w14:textId="77777777" w:rsidR="009C178E" w:rsidRPr="00A6414A" w:rsidRDefault="009C178E" w:rsidP="00A673C8">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DEEFEAD" w14:textId="77777777" w:rsidR="009C178E" w:rsidRPr="00A6414A" w:rsidRDefault="009C178E" w:rsidP="00A673C8">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4"/>
            <w:tcMar>
              <w:top w:w="0" w:type="dxa"/>
              <w:left w:w="108" w:type="dxa"/>
              <w:bottom w:w="0" w:type="dxa"/>
              <w:right w:w="108" w:type="dxa"/>
            </w:tcMar>
            <w:vAlign w:val="center"/>
          </w:tcPr>
          <w:p w14:paraId="14ACFE87"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4BAD460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9C178E" w:rsidRPr="00A6414A" w14:paraId="4694A3B6" w14:textId="77777777" w:rsidTr="003D2181">
        <w:trPr>
          <w:trHeight w:val="453"/>
        </w:trPr>
        <w:tc>
          <w:tcPr>
            <w:tcW w:w="2946" w:type="dxa"/>
            <w:gridSpan w:val="5"/>
            <w:vAlign w:val="center"/>
            <w:hideMark/>
          </w:tcPr>
          <w:p w14:paraId="3530C4B7" w14:textId="77777777" w:rsidR="009C178E" w:rsidRPr="00035272" w:rsidRDefault="009C178E" w:rsidP="00A673C8">
            <w:pPr>
              <w:ind w:left="59" w:hanging="32"/>
              <w:contextualSpacing/>
              <w:jc w:val="center"/>
              <w:rPr>
                <w:rFonts w:ascii="David" w:eastAsia="Calibri" w:hAnsi="David" w:cs="David"/>
                <w:color w:val="000000"/>
                <w:sz w:val="6"/>
                <w:szCs w:val="6"/>
                <w:rtl/>
              </w:rPr>
            </w:pPr>
          </w:p>
          <w:p w14:paraId="2AF779A6" w14:textId="77777777" w:rsidR="009C178E" w:rsidRPr="00A6414A" w:rsidRDefault="009C178E" w:rsidP="00A673C8">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028E9F" w14:textId="77777777" w:rsidR="009C178E" w:rsidRPr="00A6414A" w:rsidRDefault="009C178E" w:rsidP="00A673C8">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5"/>
            <w:vAlign w:val="center"/>
          </w:tcPr>
          <w:p w14:paraId="4426683E" w14:textId="77777777" w:rsidR="009C178E" w:rsidRPr="00A6414A" w:rsidRDefault="009C178E" w:rsidP="00A673C8">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1079DD61" w14:textId="77777777" w:rsidR="009C178E" w:rsidRPr="00A6414A" w:rsidRDefault="009C178E" w:rsidP="00A673C8">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7"/>
            <w:tcMar>
              <w:top w:w="0" w:type="dxa"/>
              <w:left w:w="108" w:type="dxa"/>
              <w:bottom w:w="0" w:type="dxa"/>
              <w:right w:w="108" w:type="dxa"/>
            </w:tcMar>
            <w:vAlign w:val="center"/>
          </w:tcPr>
          <w:p w14:paraId="2E2E9753" w14:textId="77777777" w:rsidR="009C178E" w:rsidRPr="00A6414A" w:rsidRDefault="009C178E" w:rsidP="00A673C8">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7010C3" w14:textId="77777777" w:rsidR="009C178E" w:rsidRPr="00A6414A" w:rsidRDefault="009C178E" w:rsidP="00A673C8">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5"/>
            <w:vAlign w:val="center"/>
          </w:tcPr>
          <w:p w14:paraId="023FD8DE" w14:textId="77777777" w:rsidR="009C178E" w:rsidRPr="00035272" w:rsidRDefault="009C178E" w:rsidP="00A673C8">
            <w:pPr>
              <w:contextualSpacing/>
              <w:jc w:val="center"/>
              <w:rPr>
                <w:rFonts w:ascii="David" w:eastAsia="Calibri" w:hAnsi="David" w:cs="David"/>
                <w:b/>
                <w:bCs/>
                <w:color w:val="002060"/>
                <w:sz w:val="6"/>
                <w:szCs w:val="6"/>
                <w:rtl/>
              </w:rPr>
            </w:pPr>
          </w:p>
          <w:p w14:paraId="666F6FD3" w14:textId="77777777" w:rsidR="009C178E" w:rsidRDefault="009C178E" w:rsidP="00A673C8">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5C21CDD1" w14:textId="77777777" w:rsidR="009C178E" w:rsidRPr="00035272" w:rsidRDefault="009C178E" w:rsidP="00A673C8">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17E1A571" w14:textId="77777777" w:rsidR="009C178E" w:rsidRPr="00F0370F" w:rsidRDefault="009C178E" w:rsidP="00A673C8">
            <w:pPr>
              <w:ind w:left="59" w:right="72"/>
              <w:jc w:val="center"/>
              <w:rPr>
                <w:rFonts w:ascii="Arial" w:hAnsi="Arial" w:cs="David"/>
                <w:sz w:val="19"/>
                <w:szCs w:val="19"/>
                <w:rtl/>
              </w:rPr>
            </w:pPr>
          </w:p>
        </w:tc>
      </w:tr>
      <w:tr w:rsidR="009C178E" w:rsidRPr="00A6414A" w14:paraId="536256E1" w14:textId="77777777" w:rsidTr="003D2181">
        <w:trPr>
          <w:trHeight w:val="404"/>
        </w:trPr>
        <w:tc>
          <w:tcPr>
            <w:tcW w:w="2393" w:type="dxa"/>
            <w:gridSpan w:val="4"/>
            <w:vAlign w:val="center"/>
          </w:tcPr>
          <w:p w14:paraId="4F5957C8" w14:textId="77777777" w:rsidR="009C178E" w:rsidRPr="00A6414A" w:rsidRDefault="009C178E" w:rsidP="00A673C8">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31896541" w14:textId="77777777" w:rsidR="009C178E" w:rsidRPr="00A6414A" w:rsidRDefault="009C178E" w:rsidP="00A673C8">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126" w:type="dxa"/>
            <w:gridSpan w:val="5"/>
            <w:vAlign w:val="center"/>
          </w:tcPr>
          <w:p w14:paraId="7EFE4108" w14:textId="77777777" w:rsidR="009C178E" w:rsidRPr="00A6414A" w:rsidRDefault="009C178E" w:rsidP="00A673C8">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7B11C89D" w14:textId="77777777" w:rsidR="009C178E" w:rsidRPr="00A6414A" w:rsidRDefault="009C178E" w:rsidP="00A673C8">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571" w:type="dxa"/>
            <w:gridSpan w:val="2"/>
            <w:vAlign w:val="center"/>
          </w:tcPr>
          <w:p w14:paraId="5ADB21BC" w14:textId="740AAC24" w:rsidR="009C178E" w:rsidRPr="00A6414A" w:rsidRDefault="009C178E" w:rsidP="00A673C8">
            <w:pPr>
              <w:ind w:left="59" w:right="72"/>
              <w:contextualSpacing/>
              <w:jc w:val="center"/>
              <w:rPr>
                <w:rFonts w:ascii="Arial" w:hAnsi="Arial" w:cs="David"/>
                <w:color w:val="000000"/>
                <w:sz w:val="19"/>
                <w:szCs w:val="19"/>
                <w:rtl/>
              </w:rPr>
            </w:pPr>
          </w:p>
        </w:tc>
        <w:tc>
          <w:tcPr>
            <w:tcW w:w="278" w:type="dxa"/>
            <w:gridSpan w:val="2"/>
            <w:vAlign w:val="center"/>
          </w:tcPr>
          <w:p w14:paraId="50DBF29F" w14:textId="1DDF94BE" w:rsidR="009C178E" w:rsidRPr="00D85D31" w:rsidRDefault="009C178E" w:rsidP="00A673C8">
            <w:pPr>
              <w:contextualSpacing/>
              <w:jc w:val="center"/>
              <w:rPr>
                <w:rFonts w:ascii="David" w:eastAsia="Calibri" w:hAnsi="David" w:cs="David"/>
                <w:b/>
                <w:bCs/>
                <w:color w:val="002060"/>
                <w:sz w:val="19"/>
                <w:szCs w:val="19"/>
                <w:rtl/>
              </w:rPr>
            </w:pPr>
          </w:p>
        </w:tc>
        <w:tc>
          <w:tcPr>
            <w:tcW w:w="2409" w:type="dxa"/>
            <w:gridSpan w:val="3"/>
            <w:vAlign w:val="center"/>
          </w:tcPr>
          <w:p w14:paraId="587AD19F" w14:textId="77777777" w:rsidR="003D2181" w:rsidRPr="00A6414A" w:rsidRDefault="003D2181" w:rsidP="003D2181">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566B7603" w14:textId="7AC89401" w:rsidR="009C178E" w:rsidRPr="00B24119" w:rsidRDefault="003D2181" w:rsidP="003D2181">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825" w:type="dxa"/>
            <w:gridSpan w:val="4"/>
            <w:vAlign w:val="center"/>
          </w:tcPr>
          <w:p w14:paraId="739B31D2" w14:textId="77777777" w:rsidR="009C178E" w:rsidRPr="00A6414A" w:rsidRDefault="009C178E" w:rsidP="00A673C8">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3D3323D" w14:textId="77777777" w:rsidR="009C178E" w:rsidRPr="00A6414A" w:rsidRDefault="009C178E" w:rsidP="00A673C8">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783B05D4" w14:textId="77777777" w:rsidR="009C178E" w:rsidRPr="00A6414A" w:rsidRDefault="009C178E" w:rsidP="00A673C8">
            <w:pPr>
              <w:ind w:left="26" w:right="41"/>
              <w:contextualSpacing/>
              <w:jc w:val="center"/>
              <w:rPr>
                <w:rFonts w:ascii="David" w:eastAsia="Calibri" w:hAnsi="David" w:cs="David"/>
                <w:color w:val="002060"/>
                <w:sz w:val="19"/>
                <w:szCs w:val="19"/>
                <w:rtl/>
              </w:rPr>
            </w:pPr>
          </w:p>
        </w:tc>
        <w:tc>
          <w:tcPr>
            <w:tcW w:w="293" w:type="dxa"/>
            <w:vAlign w:val="center"/>
          </w:tcPr>
          <w:p w14:paraId="0B5B94A6" w14:textId="77777777" w:rsidR="009C178E" w:rsidRPr="00A6414A" w:rsidRDefault="009C178E" w:rsidP="00A673C8">
            <w:pPr>
              <w:ind w:right="-57"/>
              <w:contextualSpacing/>
              <w:jc w:val="center"/>
              <w:rPr>
                <w:sz w:val="19"/>
                <w:szCs w:val="19"/>
                <w:rtl/>
              </w:rPr>
            </w:pPr>
          </w:p>
        </w:tc>
      </w:tr>
    </w:tbl>
    <w:bookmarkEnd w:id="3"/>
    <w:p w14:paraId="585DB8BA" w14:textId="69C362EB" w:rsidR="0015428A" w:rsidRPr="00C87E8A" w:rsidRDefault="0015428A" w:rsidP="00F33428">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F33428">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0F60B987" w:rsidR="00AF0507" w:rsidRDefault="000865B7" w:rsidP="00F33428">
      <w:pPr>
        <w:pStyle w:val="aff7"/>
        <w:spacing w:after="0" w:line="240" w:lineRule="auto"/>
        <w:ind w:left="0"/>
        <w:jc w:val="center"/>
        <w:rPr>
          <w:rStyle w:val="Hyperlink"/>
          <w:rFonts w:ascii="FrankRuehl" w:eastAsia="Calibri" w:hAnsi="FrankRuehl" w:cs="FrankRuehl"/>
          <w:sz w:val="17"/>
          <w:szCs w:val="17"/>
          <w:rtl/>
        </w:rPr>
      </w:pPr>
      <w:hyperlink r:id="rId13"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4" w:history="1">
        <w:r w:rsidR="00AF0507" w:rsidRPr="00CD712C">
          <w:rPr>
            <w:rStyle w:val="Hyperlink"/>
            <w:rFonts w:ascii="FrankRuehl" w:eastAsia="Calibri" w:hAnsi="FrankRuehl" w:cs="FrankRuehl"/>
            <w:sz w:val="17"/>
            <w:szCs w:val="17"/>
          </w:rPr>
          <w:t>WWW.ERETZHEMDAH.ORG</w:t>
        </w:r>
      </w:hyperlink>
    </w:p>
    <w:p w14:paraId="7FB84C9A" w14:textId="0B065BB2" w:rsidR="002E7056" w:rsidRDefault="005F29A1" w:rsidP="007B5151">
      <w:pPr>
        <w:contextualSpacing/>
        <w:rPr>
          <w:rFonts w:ascii="Calibri" w:eastAsia="Calibri" w:hAnsi="Calibri" w:cs="David"/>
          <w:b/>
          <w:bCs/>
          <w:sz w:val="28"/>
          <w:szCs w:val="28"/>
          <w:rtl/>
        </w:rPr>
      </w:pPr>
      <w:r>
        <w:rPr>
          <w:noProof/>
          <w:rtl/>
          <w:lang w:val="he-IL"/>
        </w:rPr>
        <w:lastRenderedPageBreak/>
        <w:drawing>
          <wp:anchor distT="0" distB="0" distL="114300" distR="114300" simplePos="0" relativeHeight="252038144" behindDoc="1" locked="0" layoutInCell="1" allowOverlap="1" wp14:anchorId="0DF87AC2" wp14:editId="30FC7399">
            <wp:simplePos x="0" y="0"/>
            <wp:positionH relativeFrom="column">
              <wp:posOffset>4271010</wp:posOffset>
            </wp:positionH>
            <wp:positionV relativeFrom="paragraph">
              <wp:posOffset>-26670</wp:posOffset>
            </wp:positionV>
            <wp:extent cx="2749302" cy="530353"/>
            <wp:effectExtent l="0" t="0" r="0" b="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14:sizeRelH relativeFrom="page">
              <wp14:pctWidth>0</wp14:pctWidth>
            </wp14:sizeRelH>
            <wp14:sizeRelV relativeFrom="page">
              <wp14:pctHeight>0</wp14:pctHeight>
            </wp14:sizeRelV>
          </wp:anchor>
        </w:drawing>
      </w:r>
    </w:p>
    <w:p w14:paraId="158E37C3" w14:textId="77777777" w:rsidR="005F29A1" w:rsidRDefault="005F29A1" w:rsidP="001039C7">
      <w:pPr>
        <w:contextualSpacing/>
        <w:rPr>
          <w:rFonts w:ascii="Calibri" w:eastAsia="Calibri" w:hAnsi="Calibri" w:cs="David"/>
          <w:b/>
          <w:bCs/>
          <w:sz w:val="28"/>
          <w:szCs w:val="28"/>
          <w:rtl/>
        </w:rPr>
      </w:pPr>
    </w:p>
    <w:p w14:paraId="2AECCE91" w14:textId="77777777" w:rsidR="005F29A1" w:rsidRDefault="005F29A1" w:rsidP="001039C7">
      <w:pPr>
        <w:contextualSpacing/>
        <w:rPr>
          <w:rFonts w:ascii="Calibri" w:eastAsia="Calibri" w:hAnsi="Calibri" w:cs="David"/>
          <w:b/>
          <w:bCs/>
          <w:sz w:val="28"/>
          <w:szCs w:val="28"/>
          <w:rtl/>
        </w:rPr>
      </w:pPr>
    </w:p>
    <w:p w14:paraId="7A42E887" w14:textId="0BFE0404"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5F29A1" w:rsidRDefault="001953F7" w:rsidP="002D608A">
      <w:pPr>
        <w:contextualSpacing/>
        <w:rPr>
          <w:rFonts w:ascii="David" w:eastAsia="Calibri" w:hAnsi="David" w:cs="David"/>
          <w:sz w:val="16"/>
          <w:szCs w:val="16"/>
          <w:rtl/>
        </w:rPr>
      </w:pPr>
    </w:p>
    <w:p w14:paraId="5D5B1135" w14:textId="77777777" w:rsidR="005F29A1" w:rsidRPr="005F29A1" w:rsidRDefault="005F29A1" w:rsidP="005F29A1">
      <w:pPr>
        <w:keepNext/>
        <w:keepLines/>
        <w:contextualSpacing/>
        <w:outlineLvl w:val="0"/>
        <w:rPr>
          <w:rFonts w:ascii="David" w:hAnsi="David" w:cs="David"/>
          <w:b/>
          <w:bCs/>
          <w:color w:val="0070C0"/>
          <w:sz w:val="32"/>
          <w:szCs w:val="32"/>
        </w:rPr>
      </w:pPr>
      <w:bookmarkStart w:id="4" w:name="_Hlk230773056"/>
      <w:bookmarkStart w:id="5" w:name="_Hlk208479624"/>
      <w:bookmarkStart w:id="6" w:name="_Hlk208479582"/>
      <w:r w:rsidRPr="005F29A1">
        <w:rPr>
          <w:rFonts w:ascii="David" w:hAnsi="David" w:cs="David" w:hint="cs"/>
          <w:b/>
          <w:bCs/>
          <w:color w:val="0070C0"/>
          <w:sz w:val="32"/>
          <w:szCs w:val="32"/>
          <w:rtl/>
        </w:rPr>
        <w:t>מגע בין מאכלים וכלים צוננים</w:t>
      </w:r>
    </w:p>
    <w:p w14:paraId="09B00B81" w14:textId="77777777" w:rsidR="005F29A1" w:rsidRPr="005F29A1" w:rsidRDefault="005F29A1" w:rsidP="005F29A1">
      <w:pPr>
        <w:contextualSpacing/>
        <w:rPr>
          <w:rFonts w:ascii="David" w:eastAsia="Calibri" w:hAnsi="David" w:cs="David"/>
          <w:sz w:val="16"/>
          <w:szCs w:val="16"/>
          <w:rtl/>
        </w:rPr>
      </w:pPr>
    </w:p>
    <w:p w14:paraId="41B600E5" w14:textId="77777777" w:rsidR="005F29A1" w:rsidRPr="005F29A1" w:rsidRDefault="005F29A1" w:rsidP="005F29A1">
      <w:pPr>
        <w:rPr>
          <w:rFonts w:ascii="David" w:eastAsia="Calibri" w:hAnsi="David" w:cs="David"/>
          <w:rtl/>
        </w:rPr>
      </w:pPr>
      <w:r w:rsidRPr="005F29A1">
        <w:rPr>
          <w:rFonts w:ascii="David" w:eastAsia="Calibri" w:hAnsi="David" w:cs="David"/>
          <w:rtl/>
        </w:rPr>
        <w:t>אחרי שזכינו להבנה מסוימת של גדרי האיסור שטעם עשוי להשפיע על מאכלים, נתחיל לברר כיצד הטעם עובר ונבלע במאכלים.</w:t>
      </w:r>
    </w:p>
    <w:p w14:paraId="7E4D3165" w14:textId="77777777" w:rsidR="005F29A1" w:rsidRPr="005F29A1" w:rsidRDefault="005F29A1" w:rsidP="005F29A1">
      <w:pPr>
        <w:contextualSpacing/>
        <w:rPr>
          <w:rFonts w:ascii="David" w:eastAsia="Calibri" w:hAnsi="David" w:cs="David"/>
          <w:sz w:val="16"/>
          <w:szCs w:val="16"/>
        </w:rPr>
      </w:pPr>
    </w:p>
    <w:p w14:paraId="726CF895" w14:textId="77777777" w:rsidR="005F29A1" w:rsidRPr="005F29A1" w:rsidRDefault="005F29A1" w:rsidP="005F29A1">
      <w:pPr>
        <w:rPr>
          <w:rFonts w:ascii="David" w:eastAsia="Calibri" w:hAnsi="David" w:cs="David"/>
          <w:rtl/>
        </w:rPr>
      </w:pPr>
      <w:r w:rsidRPr="005F29A1">
        <w:rPr>
          <w:rFonts w:ascii="David" w:eastAsia="Calibri" w:hAnsi="David" w:cs="David"/>
          <w:rtl/>
        </w:rPr>
        <w:t>במשנה במסכת חולין (פרק ח משנה ב)</w:t>
      </w:r>
      <w:r w:rsidRPr="005F29A1">
        <w:rPr>
          <w:rFonts w:ascii="David" w:eastAsia="Calibri" w:hAnsi="David" w:cs="David"/>
        </w:rPr>
        <w:t xml:space="preserve"> </w:t>
      </w:r>
      <w:r w:rsidRPr="005F29A1">
        <w:rPr>
          <w:rFonts w:ascii="David" w:eastAsia="Calibri" w:hAnsi="David" w:cs="David"/>
          <w:rtl/>
        </w:rPr>
        <w:t>נאמר שמותר לצרור בשר וגבינה במטפחת (בשק)</w:t>
      </w:r>
      <w:r w:rsidRPr="005F29A1">
        <w:rPr>
          <w:rFonts w:ascii="David" w:eastAsia="Calibri" w:hAnsi="David" w:cs="David"/>
        </w:rPr>
        <w:t xml:space="preserve"> </w:t>
      </w:r>
      <w:r w:rsidRPr="005F29A1">
        <w:rPr>
          <w:rFonts w:ascii="David" w:eastAsia="Calibri" w:hAnsi="David" w:cs="David"/>
          <w:rtl/>
        </w:rPr>
        <w:t xml:space="preserve">אחד, ובלבד שלא יהיו נוגעים. בגמרא (דף </w:t>
      </w:r>
      <w:proofErr w:type="spellStart"/>
      <w:r w:rsidRPr="005F29A1">
        <w:rPr>
          <w:rFonts w:ascii="David" w:eastAsia="Calibri" w:hAnsi="David" w:cs="David"/>
          <w:rtl/>
        </w:rPr>
        <w:t>קז</w:t>
      </w:r>
      <w:proofErr w:type="spellEnd"/>
      <w:r w:rsidRPr="005F29A1">
        <w:rPr>
          <w:rFonts w:ascii="David" w:eastAsia="Calibri" w:hAnsi="David" w:cs="David"/>
          <w:rtl/>
        </w:rPr>
        <w:t xml:space="preserve"> ע"ב)</w:t>
      </w:r>
      <w:r w:rsidRPr="005F29A1">
        <w:rPr>
          <w:rFonts w:ascii="David" w:eastAsia="Calibri" w:hAnsi="David" w:cs="David"/>
        </w:rPr>
        <w:t xml:space="preserve"> </w:t>
      </w:r>
      <w:r w:rsidRPr="005F29A1">
        <w:rPr>
          <w:rFonts w:ascii="David" w:eastAsia="Calibri" w:hAnsi="David" w:cs="David"/>
          <w:rtl/>
        </w:rPr>
        <w:t xml:space="preserve">שואלים – מדוע אסור שיגעו, הרי הם צוננים? </w:t>
      </w:r>
      <w:proofErr w:type="spellStart"/>
      <w:r w:rsidRPr="005F29A1">
        <w:rPr>
          <w:rFonts w:ascii="David" w:eastAsia="Calibri" w:hAnsi="David" w:cs="David"/>
          <w:rtl/>
        </w:rPr>
        <w:t>אביי</w:t>
      </w:r>
      <w:proofErr w:type="spellEnd"/>
      <w:r w:rsidRPr="005F29A1">
        <w:rPr>
          <w:rFonts w:ascii="David" w:eastAsia="Calibri" w:hAnsi="David" w:cs="David"/>
          <w:rtl/>
        </w:rPr>
        <w:t xml:space="preserve"> עונה: בכל זאת, יהיה צורך להדיח את הבשר.</w:t>
      </w:r>
    </w:p>
    <w:p w14:paraId="598966EF" w14:textId="77777777" w:rsidR="005F29A1" w:rsidRPr="005F29A1" w:rsidRDefault="005F29A1" w:rsidP="005F29A1">
      <w:pPr>
        <w:rPr>
          <w:rFonts w:ascii="David" w:eastAsia="Calibri" w:hAnsi="David" w:cs="David"/>
          <w:rtl/>
        </w:rPr>
      </w:pPr>
      <w:r w:rsidRPr="005F29A1">
        <w:rPr>
          <w:rFonts w:ascii="David" w:eastAsia="Calibri" w:hAnsi="David" w:cs="David"/>
          <w:rtl/>
        </w:rPr>
        <w:t>מתוך הדברים אנו לומדים מספר עקרונות הלכתיים:</w:t>
      </w:r>
    </w:p>
    <w:p w14:paraId="073ED3F1" w14:textId="77777777" w:rsidR="005F29A1" w:rsidRPr="005F29A1" w:rsidRDefault="005F29A1" w:rsidP="005F29A1">
      <w:pPr>
        <w:rPr>
          <w:rFonts w:ascii="David" w:eastAsia="Calibri" w:hAnsi="David" w:cs="David"/>
          <w:rtl/>
        </w:rPr>
      </w:pPr>
      <w:r w:rsidRPr="005F29A1">
        <w:rPr>
          <w:rFonts w:ascii="David" w:eastAsia="Calibri" w:hAnsi="David" w:cs="David"/>
          <w:rtl/>
        </w:rPr>
        <w:t xml:space="preserve">ראשית, כאשר אנו מדברים על 'מעבר טעמים', איננו מתכוונים למגע והימצאות המאכל בעלמא. כוונתנו היא ליצירת קשר כימי בין המאכלים. לדוגמא: כאשר שורים בשר בטיבול, אם יוציאו אותו מן הטיבול אחרי זמן קצר, אמנם הטיבול יימצא על הבשר, אך בזמן קצר הוא אינו מתחבר אל המאכל פנימה. ניתן לשטוף את הבשר ולהוציא ממנו את הטעם של הטיבול. אך בחלוף מספיק זמן, נוצר קשר כימי פנימי, ולא ניתן להדיח את הטיבול מתוכו. בשלב זה נאמר שהבשר קיבל את הטעם של הטיבול. דבר דומה קורה בבישול: בישול של מאכלים אינו משנה רק את הרכבם בעזרת חימום. הוא גם גורם להעברת טעם של מאכל אחד בשני. אם נכניס מרכיבים שונים של נזיד לתוך סיר ולא נחמם אותו, ייקח זמן רב עד שאותו קשר כימי אליו התייחסנו ייווצר. בשלב הראשוני יהיה מגע בלבד. אם נפרק את החבילה לפני שיעבור זמן מסוים, נוכל להדיח פריט </w:t>
      </w:r>
      <w:proofErr w:type="spellStart"/>
      <w:r w:rsidRPr="005F29A1">
        <w:rPr>
          <w:rFonts w:ascii="David" w:eastAsia="Calibri" w:hAnsi="David" w:cs="David"/>
          <w:rtl/>
        </w:rPr>
        <w:t>פריט</w:t>
      </w:r>
      <w:proofErr w:type="spellEnd"/>
      <w:r w:rsidRPr="005F29A1">
        <w:rPr>
          <w:rFonts w:ascii="David" w:eastAsia="Calibri" w:hAnsi="David" w:cs="David"/>
          <w:rtl/>
        </w:rPr>
        <w:t xml:space="preserve"> ולהשיב אותו למצבו הקודם. אך אם נרתיח את תוכן הסיר, טעמי המאכלים יתערבו וייבלעו זה בזה. אחרי שפעולה זו תיעשה, לא נוכל להשיב את המצב לקדמתו (בעבר נגענו בנקודה דומה בשאלה של 'אפשר לסחטו' – אחרי חימום המאכל כבר לא ניתן 'לסחוט' את הטעם שנבלע בו החוצה). </w:t>
      </w:r>
    </w:p>
    <w:p w14:paraId="1055745C" w14:textId="77777777" w:rsidR="005F29A1" w:rsidRPr="005F29A1" w:rsidRDefault="005F29A1" w:rsidP="005F29A1">
      <w:pPr>
        <w:rPr>
          <w:rFonts w:ascii="David" w:eastAsia="Calibri" w:hAnsi="David" w:cs="David"/>
          <w:rtl/>
        </w:rPr>
      </w:pPr>
      <w:r w:rsidRPr="005F29A1">
        <w:rPr>
          <w:rFonts w:ascii="David" w:eastAsia="Calibri" w:hAnsi="David" w:cs="David"/>
          <w:rtl/>
        </w:rPr>
        <w:t>אחר הקדמה זו הדיון של הגמרא מובן יותר: הגמרא שואלת מדוע לא ניתן להניח את המאכלים זה בצד זה באופן שייגעו, הרי העברת טעם (במובן של קשירת אותו קשר כימי)</w:t>
      </w:r>
      <w:r w:rsidRPr="005F29A1">
        <w:rPr>
          <w:rFonts w:ascii="David" w:eastAsia="Calibri" w:hAnsi="David" w:cs="David"/>
        </w:rPr>
        <w:t xml:space="preserve"> </w:t>
      </w:r>
      <w:r w:rsidRPr="005F29A1">
        <w:rPr>
          <w:rFonts w:ascii="David" w:eastAsia="Calibri" w:hAnsi="David" w:cs="David"/>
          <w:rtl/>
        </w:rPr>
        <w:t xml:space="preserve">לא ייווצר כאן. עונה </w:t>
      </w:r>
      <w:proofErr w:type="spellStart"/>
      <w:r w:rsidRPr="005F29A1">
        <w:rPr>
          <w:rFonts w:ascii="David" w:eastAsia="Calibri" w:hAnsi="David" w:cs="David"/>
          <w:rtl/>
        </w:rPr>
        <w:t>אביי</w:t>
      </w:r>
      <w:proofErr w:type="spellEnd"/>
      <w:r w:rsidRPr="005F29A1">
        <w:rPr>
          <w:rFonts w:ascii="David" w:eastAsia="Calibri" w:hAnsi="David" w:cs="David"/>
          <w:rtl/>
        </w:rPr>
        <w:t>: אכן, אך עדיין יהיה צורך לנקות חיצונית את המאכלים בכדי לוודא שהשמנונית או המאכל עצמו יסורו זה מזה.</w:t>
      </w:r>
    </w:p>
    <w:p w14:paraId="395D9C8D" w14:textId="77777777" w:rsidR="005F29A1" w:rsidRPr="005F29A1" w:rsidRDefault="005F29A1" w:rsidP="005F29A1">
      <w:pPr>
        <w:rPr>
          <w:rFonts w:ascii="David" w:eastAsia="Calibri" w:hAnsi="David" w:cs="David"/>
          <w:rtl/>
        </w:rPr>
      </w:pPr>
      <w:r w:rsidRPr="005F29A1">
        <w:rPr>
          <w:rFonts w:ascii="David" w:eastAsia="Calibri" w:hAnsi="David" w:cs="David"/>
          <w:rtl/>
        </w:rPr>
        <w:t xml:space="preserve">מכאן למדנו דבר נוסף: אמנם ניתן לנקות את המאכל ממאכל אחר שנגע בו. אך אסור ליצור את המצב המחייב את הניקוי הזה לכתחילה. כך </w:t>
      </w:r>
      <w:proofErr w:type="spellStart"/>
      <w:r w:rsidRPr="005F29A1">
        <w:rPr>
          <w:rFonts w:ascii="David" w:eastAsia="Calibri" w:hAnsi="David" w:cs="David"/>
          <w:rtl/>
        </w:rPr>
        <w:t>אביי</w:t>
      </w:r>
      <w:proofErr w:type="spellEnd"/>
      <w:r w:rsidRPr="005F29A1">
        <w:rPr>
          <w:rFonts w:ascii="David" w:eastAsia="Calibri" w:hAnsi="David" w:cs="David"/>
          <w:rtl/>
        </w:rPr>
        <w:t xml:space="preserve"> מבאר את המשנה: המשנה אוסרת להניחם באופן שייגעו זה בזה, מפני שאזי תיווצר חובה להדיח את המאכלים.</w:t>
      </w:r>
    </w:p>
    <w:p w14:paraId="574BB0BA" w14:textId="77777777" w:rsidR="005F29A1" w:rsidRPr="005F29A1" w:rsidRDefault="005F29A1" w:rsidP="005F29A1">
      <w:pPr>
        <w:rPr>
          <w:rFonts w:ascii="David" w:eastAsia="Calibri" w:hAnsi="David" w:cs="David"/>
          <w:rtl/>
        </w:rPr>
      </w:pPr>
      <w:r w:rsidRPr="005F29A1">
        <w:rPr>
          <w:rFonts w:ascii="David" w:eastAsia="Calibri" w:hAnsi="David" w:cs="David"/>
          <w:rtl/>
        </w:rPr>
        <w:t>בעל העיטור מציין שהסיבה לאיסור הוא שמא ישכח ולא ידיח. אך אם מדובר במאכל שרגילים להדיח לפני האכילה (או לפני הבישול)</w:t>
      </w:r>
      <w:r w:rsidRPr="005F29A1">
        <w:rPr>
          <w:rFonts w:ascii="David" w:eastAsia="Calibri" w:hAnsi="David" w:cs="David"/>
        </w:rPr>
        <w:t xml:space="preserve"> </w:t>
      </w:r>
      <w:r w:rsidRPr="005F29A1">
        <w:rPr>
          <w:rFonts w:ascii="David" w:eastAsia="Calibri" w:hAnsi="David" w:cs="David"/>
          <w:rtl/>
        </w:rPr>
        <w:t>אין איסור שיגעו זה בזה, שהרי אין חשש שישכח ולא ידיח.</w:t>
      </w:r>
    </w:p>
    <w:p w14:paraId="0DC7B1CE" w14:textId="77777777" w:rsidR="005F29A1" w:rsidRPr="005F29A1" w:rsidRDefault="005F29A1" w:rsidP="005F29A1">
      <w:pPr>
        <w:rPr>
          <w:rFonts w:ascii="David" w:eastAsia="Calibri" w:hAnsi="David" w:cs="David"/>
          <w:rtl/>
        </w:rPr>
      </w:pPr>
      <w:proofErr w:type="spellStart"/>
      <w:r w:rsidRPr="005F29A1">
        <w:rPr>
          <w:rFonts w:ascii="David" w:eastAsia="Calibri" w:hAnsi="David" w:cs="David"/>
          <w:rtl/>
        </w:rPr>
        <w:t>הרא"ה</w:t>
      </w:r>
      <w:proofErr w:type="spellEnd"/>
      <w:r w:rsidRPr="005F29A1">
        <w:rPr>
          <w:rFonts w:ascii="David" w:eastAsia="Calibri" w:hAnsi="David" w:cs="David"/>
          <w:rtl/>
        </w:rPr>
        <w:t xml:space="preserve"> חולק על כך. הוא אומר שניתן לקבל את הדברים ביחס לכלים, ולא ביחס לאוכל. כלומר:</w:t>
      </w:r>
      <w:r w:rsidRPr="005F29A1">
        <w:rPr>
          <w:rFonts w:ascii="David" w:eastAsia="Calibri" w:hAnsi="David" w:cs="David"/>
        </w:rPr>
        <w:t xml:space="preserve"> </w:t>
      </w:r>
      <w:r w:rsidRPr="005F29A1">
        <w:rPr>
          <w:rFonts w:ascii="David" w:eastAsia="Calibri" w:hAnsi="David" w:cs="David"/>
          <w:rtl/>
        </w:rPr>
        <w:t>יתכן ובנופש בדירה שכורה יהיו כלים שלא ידוע מה טיבם. מותר להשתמש בכלים לדברים כשרים ויבשים, מפני שבימינו אין זה מקובל להשתמש בכלים שלא  נשטפו היטב. אם כך, אין חשש שישכח וישתמש בכלים שעדיין יש בהם מאכל שאינו כשר.</w:t>
      </w:r>
    </w:p>
    <w:p w14:paraId="40FCE455" w14:textId="77777777" w:rsidR="005F29A1" w:rsidRPr="005F29A1" w:rsidRDefault="005F29A1" w:rsidP="005F29A1">
      <w:pPr>
        <w:rPr>
          <w:rFonts w:ascii="David" w:eastAsia="Calibri" w:hAnsi="David" w:cs="David"/>
          <w:rtl/>
        </w:rPr>
      </w:pPr>
      <w:r w:rsidRPr="005F29A1">
        <w:rPr>
          <w:rFonts w:ascii="David" w:eastAsia="Calibri" w:hAnsi="David" w:cs="David"/>
          <w:rtl/>
        </w:rPr>
        <w:t xml:space="preserve">אך </w:t>
      </w:r>
      <w:proofErr w:type="spellStart"/>
      <w:r w:rsidRPr="005F29A1">
        <w:rPr>
          <w:rFonts w:ascii="David" w:eastAsia="Calibri" w:hAnsi="David" w:cs="David"/>
          <w:rtl/>
        </w:rPr>
        <w:t>הרא"ה</w:t>
      </w:r>
      <w:proofErr w:type="spellEnd"/>
      <w:r w:rsidRPr="005F29A1">
        <w:rPr>
          <w:rFonts w:ascii="David" w:eastAsia="Calibri" w:hAnsi="David" w:cs="David"/>
          <w:rtl/>
        </w:rPr>
        <w:t xml:space="preserve"> אומר שדין זה אינו נכון ביחס לבשר וחלב יחד. הוא אומר שאין היתר שהחלב והבשר יגעו זה בזה על סמך ההדחה העתידה לבוא. במגע של בשר וחלב, לשיטתו, יש להחמיר יותר.</w:t>
      </w:r>
    </w:p>
    <w:p w14:paraId="40D06912" w14:textId="77777777" w:rsidR="005F29A1" w:rsidRPr="005F29A1" w:rsidRDefault="005F29A1" w:rsidP="005F29A1">
      <w:pPr>
        <w:rPr>
          <w:rFonts w:ascii="David" w:eastAsia="Calibri" w:hAnsi="David" w:cs="David"/>
          <w:rtl/>
        </w:rPr>
      </w:pPr>
      <w:proofErr w:type="spellStart"/>
      <w:r w:rsidRPr="005F29A1">
        <w:rPr>
          <w:rFonts w:ascii="David" w:eastAsia="Calibri" w:hAnsi="David" w:cs="David"/>
          <w:rtl/>
        </w:rPr>
        <w:t>הרשב"א</w:t>
      </w:r>
      <w:proofErr w:type="spellEnd"/>
      <w:r w:rsidRPr="005F29A1">
        <w:rPr>
          <w:rFonts w:ascii="David" w:eastAsia="Calibri" w:hAnsi="David" w:cs="David"/>
          <w:rtl/>
        </w:rPr>
        <w:t xml:space="preserve"> מציין שיש רמות שונות של הדחה: הוא אוסר לחתוך בשר בסכין שמשתמשים בו להפריד את החֵלֶב </w:t>
      </w:r>
      <w:proofErr w:type="spellStart"/>
      <w:r w:rsidRPr="005F29A1">
        <w:rPr>
          <w:rFonts w:ascii="David" w:eastAsia="Calibri" w:hAnsi="David" w:cs="David"/>
          <w:rtl/>
        </w:rPr>
        <w:t>והאליה</w:t>
      </w:r>
      <w:proofErr w:type="spellEnd"/>
      <w:r w:rsidRPr="005F29A1">
        <w:rPr>
          <w:rFonts w:ascii="David" w:eastAsia="Calibri" w:hAnsi="David" w:cs="David"/>
          <w:rtl/>
        </w:rPr>
        <w:t xml:space="preserve"> מהבהמה. אמנם מקובל להדיח את הבשר לפני צלייתו, אך החֵלֶב </w:t>
      </w:r>
      <w:proofErr w:type="spellStart"/>
      <w:r w:rsidRPr="005F29A1">
        <w:rPr>
          <w:rFonts w:ascii="David" w:eastAsia="Calibri" w:hAnsi="David" w:cs="David"/>
          <w:rtl/>
        </w:rPr>
        <w:t>והאליה</w:t>
      </w:r>
      <w:proofErr w:type="spellEnd"/>
      <w:r w:rsidRPr="005F29A1">
        <w:rPr>
          <w:rFonts w:ascii="David" w:eastAsia="Calibri" w:hAnsi="David" w:cs="David"/>
          <w:rtl/>
        </w:rPr>
        <w:t xml:space="preserve"> שמנוניים, ודורשים הדחה תוך שפשוף, ואת זה לא רגילים לעשות בבשר רגיל.</w:t>
      </w:r>
    </w:p>
    <w:p w14:paraId="165BA95D" w14:textId="77777777" w:rsidR="005F29A1" w:rsidRPr="005F29A1" w:rsidRDefault="005F29A1" w:rsidP="005F29A1">
      <w:pPr>
        <w:rPr>
          <w:rFonts w:ascii="David" w:eastAsia="Calibri" w:hAnsi="David" w:cs="David"/>
          <w:rtl/>
        </w:rPr>
      </w:pPr>
      <w:r w:rsidRPr="005F29A1">
        <w:rPr>
          <w:rFonts w:ascii="David" w:eastAsia="Calibri" w:hAnsi="David" w:cs="David"/>
          <w:rtl/>
        </w:rPr>
        <w:t xml:space="preserve">מתוך דברי </w:t>
      </w:r>
      <w:proofErr w:type="spellStart"/>
      <w:r w:rsidRPr="005F29A1">
        <w:rPr>
          <w:rFonts w:ascii="David" w:eastAsia="Calibri" w:hAnsi="David" w:cs="David"/>
          <w:rtl/>
        </w:rPr>
        <w:t>הרשב"א</w:t>
      </w:r>
      <w:proofErr w:type="spellEnd"/>
      <w:r w:rsidRPr="005F29A1">
        <w:rPr>
          <w:rFonts w:ascii="David" w:eastAsia="Calibri" w:hAnsi="David" w:cs="David"/>
          <w:rtl/>
        </w:rPr>
        <w:t xml:space="preserve">, הפרי מגדים (משבצות זהב סימן צא </w:t>
      </w:r>
      <w:proofErr w:type="spellStart"/>
      <w:r w:rsidRPr="005F29A1">
        <w:rPr>
          <w:rFonts w:ascii="David" w:eastAsia="Calibri" w:hAnsi="David" w:cs="David"/>
          <w:rtl/>
        </w:rPr>
        <w:t>ס"ק</w:t>
      </w:r>
      <w:proofErr w:type="spellEnd"/>
      <w:r w:rsidRPr="005F29A1">
        <w:rPr>
          <w:rFonts w:ascii="David" w:eastAsia="Calibri" w:hAnsi="David" w:cs="David"/>
          <w:rtl/>
        </w:rPr>
        <w:t xml:space="preserve"> א)</w:t>
      </w:r>
      <w:r w:rsidRPr="005F29A1">
        <w:rPr>
          <w:rFonts w:ascii="David" w:eastAsia="Calibri" w:hAnsi="David" w:cs="David"/>
        </w:rPr>
        <w:t xml:space="preserve"> </w:t>
      </w:r>
      <w:r w:rsidRPr="005F29A1">
        <w:rPr>
          <w:rFonts w:ascii="David" w:eastAsia="Calibri" w:hAnsi="David" w:cs="David"/>
          <w:rtl/>
        </w:rPr>
        <w:t xml:space="preserve">מחזק את דברי </w:t>
      </w:r>
      <w:proofErr w:type="spellStart"/>
      <w:r w:rsidRPr="005F29A1">
        <w:rPr>
          <w:rFonts w:ascii="David" w:eastAsia="Calibri" w:hAnsi="David" w:cs="David"/>
          <w:rtl/>
        </w:rPr>
        <w:t>הרא"ה</w:t>
      </w:r>
      <w:proofErr w:type="spellEnd"/>
      <w:r w:rsidRPr="005F29A1">
        <w:rPr>
          <w:rFonts w:ascii="David" w:eastAsia="Calibri" w:hAnsi="David" w:cs="David"/>
          <w:rtl/>
        </w:rPr>
        <w:t xml:space="preserve">: אין להניח מאכל על מאכל האוסר אותו, גם אם רגילים להדיח, מפני שלא תמיד ברור אם יש צורך להדיח עם שפשוף או לא, ולכן כל ההיתר הוא רק ביחס לכלים, שרגילים שיהיו נקיים ממש. ברם </w:t>
      </w:r>
      <w:proofErr w:type="spellStart"/>
      <w:r w:rsidRPr="005F29A1">
        <w:rPr>
          <w:rFonts w:ascii="David" w:eastAsia="Calibri" w:hAnsi="David" w:cs="David"/>
          <w:rtl/>
        </w:rPr>
        <w:t>מהש"ך</w:t>
      </w:r>
      <w:proofErr w:type="spellEnd"/>
      <w:r w:rsidRPr="005F29A1">
        <w:rPr>
          <w:rFonts w:ascii="David" w:eastAsia="Calibri" w:hAnsi="David" w:cs="David"/>
          <w:rtl/>
        </w:rPr>
        <w:t xml:space="preserve"> עולה שהשאלה היא פרקטית לחלוטין: אם אין חשש שישכחו להדיח באופן המתיר, אין איסור שהמאכלים יהיו במגע. דבר זה מוכח מהאופן בו הגמרא מציגה את הדיון: הגמרא תמהה: מדוע יש להקפיד שהמאכלים לא יגעו? מוכח שאמנם </w:t>
      </w:r>
      <w:proofErr w:type="spellStart"/>
      <w:r w:rsidRPr="005F29A1">
        <w:rPr>
          <w:rFonts w:ascii="David" w:eastAsia="Calibri" w:hAnsi="David" w:cs="David"/>
          <w:rtl/>
        </w:rPr>
        <w:t>אביי</w:t>
      </w:r>
      <w:proofErr w:type="spellEnd"/>
      <w:r w:rsidRPr="005F29A1">
        <w:rPr>
          <w:rFonts w:ascii="David" w:eastAsia="Calibri" w:hAnsi="David" w:cs="David"/>
          <w:rtl/>
        </w:rPr>
        <w:t xml:space="preserve"> מציג שישנו חשש, אך נקודת המוצא היא שלולא החשש, הגמרא לא ראתה בעיה בכך שהבשר והחלב יגעו זה בזה.</w:t>
      </w:r>
    </w:p>
    <w:p w14:paraId="557D15BF" w14:textId="77777777" w:rsidR="005F29A1" w:rsidRPr="005F29A1" w:rsidRDefault="005F29A1" w:rsidP="005F29A1">
      <w:pPr>
        <w:rPr>
          <w:rFonts w:ascii="David" w:eastAsia="Calibri" w:hAnsi="David" w:cs="David"/>
          <w:rtl/>
        </w:rPr>
      </w:pPr>
      <w:r w:rsidRPr="005F29A1">
        <w:rPr>
          <w:rFonts w:ascii="David" w:eastAsia="Calibri" w:hAnsi="David" w:cs="David"/>
          <w:rtl/>
        </w:rPr>
        <w:t xml:space="preserve">לכאורה יש לומר </w:t>
      </w:r>
      <w:proofErr w:type="spellStart"/>
      <w:r w:rsidRPr="005F29A1">
        <w:rPr>
          <w:rFonts w:ascii="David" w:eastAsia="Calibri" w:hAnsi="David" w:cs="David"/>
          <w:rtl/>
        </w:rPr>
        <w:t>שהרא"ה</w:t>
      </w:r>
      <w:proofErr w:type="spellEnd"/>
      <w:r w:rsidRPr="005F29A1">
        <w:rPr>
          <w:rFonts w:ascii="David" w:eastAsia="Calibri" w:hAnsi="David" w:cs="David"/>
          <w:rtl/>
        </w:rPr>
        <w:t xml:space="preserve"> והפרי מגדים למדו את </w:t>
      </w:r>
      <w:proofErr w:type="spellStart"/>
      <w:r w:rsidRPr="005F29A1">
        <w:rPr>
          <w:rFonts w:ascii="David" w:eastAsia="Calibri" w:hAnsi="David" w:cs="David"/>
          <w:rtl/>
        </w:rPr>
        <w:t>הסוגיה</w:t>
      </w:r>
      <w:proofErr w:type="spellEnd"/>
      <w:r w:rsidRPr="005F29A1">
        <w:rPr>
          <w:rFonts w:ascii="David" w:eastAsia="Calibri" w:hAnsi="David" w:cs="David"/>
          <w:rtl/>
        </w:rPr>
        <w:t xml:space="preserve"> הפוך: המשנה מגדירה גזרה מסוימת האוסרת שהמאכלים יגעו אם יהיה אסור לאכול אותם ללא הדחה. הגמרא שאלה את השאלה בכדי לחדד לנו שלפנינו גזירה. אך הבסיס הוא דברי המשנה, ועקרונית יש גזירה האוסרת, אלא אם כן נוכל לשער שהגזירה אינה בתוקף.</w:t>
      </w:r>
    </w:p>
    <w:p w14:paraId="3AB82CBC" w14:textId="77777777" w:rsidR="005F29A1" w:rsidRPr="005F29A1" w:rsidRDefault="005F29A1" w:rsidP="005F29A1">
      <w:pPr>
        <w:contextualSpacing/>
        <w:rPr>
          <w:rFonts w:ascii="David" w:eastAsia="Calibri" w:hAnsi="David" w:cs="David"/>
          <w:sz w:val="16"/>
          <w:szCs w:val="16"/>
          <w:rtl/>
        </w:rPr>
      </w:pPr>
    </w:p>
    <w:p w14:paraId="4698F4CC" w14:textId="77777777" w:rsidR="005F29A1" w:rsidRPr="005F29A1" w:rsidRDefault="005F29A1" w:rsidP="005F29A1">
      <w:pPr>
        <w:rPr>
          <w:rFonts w:ascii="David" w:eastAsia="Calibri" w:hAnsi="David" w:cs="David"/>
          <w:rtl/>
        </w:rPr>
      </w:pPr>
      <w:r w:rsidRPr="005F29A1">
        <w:rPr>
          <w:rFonts w:ascii="David" w:eastAsia="Calibri" w:hAnsi="David" w:cs="David"/>
          <w:rtl/>
        </w:rPr>
        <w:t>נשוב לדין של הכלי:</w:t>
      </w:r>
    </w:p>
    <w:p w14:paraId="74F42167" w14:textId="77777777" w:rsidR="005F29A1" w:rsidRPr="005F29A1" w:rsidRDefault="005F29A1" w:rsidP="005F29A1">
      <w:pPr>
        <w:rPr>
          <w:rFonts w:ascii="David" w:eastAsia="Calibri" w:hAnsi="David" w:cs="David"/>
          <w:rtl/>
        </w:rPr>
      </w:pPr>
      <w:r w:rsidRPr="005F29A1">
        <w:rPr>
          <w:rFonts w:ascii="David" w:eastAsia="Calibri" w:hAnsi="David" w:cs="David"/>
          <w:rtl/>
        </w:rPr>
        <w:t>העיטור כותב, באופן מפתיע, שאסור להעלות בשר צונן בקערה שאינה כשרה, שמא יאכל ללא הדחה. אך יש לברר במה מדובר:</w:t>
      </w:r>
    </w:p>
    <w:p w14:paraId="54B270D1" w14:textId="77777777" w:rsidR="005F29A1" w:rsidRPr="005F29A1" w:rsidRDefault="005F29A1" w:rsidP="005F29A1">
      <w:pPr>
        <w:rPr>
          <w:rFonts w:ascii="David" w:eastAsia="Calibri" w:hAnsi="David" w:cs="David"/>
          <w:rtl/>
        </w:rPr>
      </w:pPr>
      <w:r w:rsidRPr="005F29A1">
        <w:rPr>
          <w:rFonts w:ascii="David" w:eastAsia="Calibri" w:hAnsi="David" w:cs="David"/>
          <w:rtl/>
        </w:rPr>
        <w:t>ראשית, נפסק כדבר פשוט שכלים ששימושם בצונן, די להכשיר אותם בהדחה. לדוגמא: כלי שתמיד משתמשים בו בשימוש קר בלבד, ניתן לשטוף אותם כרגיל ולאחר מכן להשתמש בהם בפסח. אם כך, אם מדובר בכלי נקי ששימושו בצונן, לכאורה גם אין צורך בהדחה.</w:t>
      </w:r>
    </w:p>
    <w:p w14:paraId="5C9EDA44" w14:textId="77777777" w:rsidR="005F29A1" w:rsidRPr="005F29A1" w:rsidRDefault="005F29A1" w:rsidP="005F29A1">
      <w:pPr>
        <w:rPr>
          <w:rFonts w:ascii="David" w:eastAsia="Calibri" w:hAnsi="David" w:cs="David"/>
          <w:rtl/>
        </w:rPr>
      </w:pPr>
      <w:r w:rsidRPr="005F29A1">
        <w:rPr>
          <w:rFonts w:ascii="David" w:eastAsia="Calibri" w:hAnsi="David" w:cs="David"/>
          <w:rtl/>
        </w:rPr>
        <w:t xml:space="preserve">בהקשר של טבילת כלים </w:t>
      </w:r>
      <w:proofErr w:type="spellStart"/>
      <w:r w:rsidRPr="005F29A1">
        <w:rPr>
          <w:rFonts w:ascii="David" w:eastAsia="Calibri" w:hAnsi="David" w:cs="David"/>
          <w:rtl/>
        </w:rPr>
        <w:t>הרשב"א</w:t>
      </w:r>
      <w:proofErr w:type="spellEnd"/>
      <w:r w:rsidRPr="005F29A1">
        <w:rPr>
          <w:rFonts w:ascii="David" w:eastAsia="Calibri" w:hAnsi="David" w:cs="David"/>
          <w:rtl/>
        </w:rPr>
        <w:t xml:space="preserve"> כותב שאם הכלי אינו כשר, יש להכשירו לפני הטבילה. ר"י חולק עליו ואומר שאין בעיה לטבול אותו כמות שהוא, ולהשתמש בו למאכל צונן!</w:t>
      </w:r>
    </w:p>
    <w:p w14:paraId="55284276" w14:textId="77777777" w:rsidR="005F29A1" w:rsidRPr="005F29A1" w:rsidRDefault="005F29A1" w:rsidP="005F29A1">
      <w:pPr>
        <w:rPr>
          <w:rFonts w:ascii="David" w:eastAsia="Calibri" w:hAnsi="David" w:cs="David"/>
          <w:rtl/>
        </w:rPr>
      </w:pPr>
      <w:r w:rsidRPr="005F29A1">
        <w:rPr>
          <w:rFonts w:ascii="David" w:eastAsia="Calibri" w:hAnsi="David" w:cs="David"/>
          <w:rtl/>
        </w:rPr>
        <w:t>בטור יורה דעה סימן צד מפורטים מקרים שונים בהם כלי נאסר. הטור פוסק שם שיש להכשיר את הכלי, אך מותר להשתמש בו כמות שהוא בכדי להגיש פירות צוננים וכדו'.</w:t>
      </w:r>
    </w:p>
    <w:p w14:paraId="048A87F5" w14:textId="77777777" w:rsidR="005F29A1" w:rsidRPr="005F29A1" w:rsidRDefault="005F29A1" w:rsidP="005F29A1">
      <w:pPr>
        <w:rPr>
          <w:rFonts w:ascii="David" w:eastAsia="Calibri" w:hAnsi="David" w:cs="David"/>
          <w:rtl/>
        </w:rPr>
      </w:pPr>
      <w:r w:rsidRPr="005F29A1">
        <w:rPr>
          <w:rFonts w:ascii="David" w:eastAsia="Calibri" w:hAnsi="David" w:cs="David"/>
          <w:rtl/>
        </w:rPr>
        <w:t xml:space="preserve">להכריע בין הצדדים, המשנה ברורה (סימן תנא </w:t>
      </w:r>
      <w:proofErr w:type="spellStart"/>
      <w:r w:rsidRPr="005F29A1">
        <w:rPr>
          <w:rFonts w:ascii="David" w:eastAsia="Calibri" w:hAnsi="David" w:cs="David"/>
          <w:rtl/>
        </w:rPr>
        <w:t>ס"ק</w:t>
      </w:r>
      <w:proofErr w:type="spellEnd"/>
      <w:r w:rsidRPr="005F29A1">
        <w:rPr>
          <w:rFonts w:ascii="David" w:eastAsia="Calibri" w:hAnsi="David" w:cs="David"/>
          <w:rtl/>
        </w:rPr>
        <w:t xml:space="preserve"> טו-</w:t>
      </w:r>
      <w:proofErr w:type="spellStart"/>
      <w:r w:rsidRPr="005F29A1">
        <w:rPr>
          <w:rFonts w:ascii="David" w:eastAsia="Calibri" w:hAnsi="David" w:cs="David"/>
          <w:rtl/>
        </w:rPr>
        <w:t>טז</w:t>
      </w:r>
      <w:proofErr w:type="spellEnd"/>
      <w:r w:rsidRPr="005F29A1">
        <w:rPr>
          <w:rFonts w:ascii="David" w:eastAsia="Calibri" w:hAnsi="David" w:cs="David"/>
          <w:rtl/>
        </w:rPr>
        <w:t>) אומר כך: עקרונית וודאי שאין כאן איסור. שהרי הטעם האסור הנמצא בכלי לא ייבלע במאכל הקר שמכניסים לתוכו. אך אסור לעשות כך דרך קבע, שמא ישתמשו בו למאכלים חמים. אם נשוב לדוגמא שכתבנו לעיל: משפחה שכרה דירת נופש, ויש בה כלים שלא ידוע מה טיבם. ניתן לתת לילדים קורנפלקס באופן חד פעמי בכלי נקי שלא ידוע מה טיבו, מפני שהאיסור שבכלי לא יעבור לקורנפלקס. אך אם נמצאים שם למספר ימים, עולה חשש אחר: אחרים שיראו שהשתמשו בכלי לא יהיו מודעים לכך שמדובר בכלי שאינו כשר. הם עלולים להשתמש בכלי באופן שכן יעביר את הטעם שבכלי אל המאכל שלהם. אם ישנו חשש שכזה, אסור להשתמש בכלי גם בשימוש קר חד פעמי.</w:t>
      </w:r>
      <w:bookmarkEnd w:id="4"/>
    </w:p>
    <w:p w14:paraId="2DB5419A" w14:textId="11A2DA19" w:rsidR="007B5151" w:rsidRPr="005F29A1" w:rsidRDefault="007B5151" w:rsidP="007B5151">
      <w:pPr>
        <w:contextualSpacing/>
        <w:rPr>
          <w:rFonts w:ascii="David" w:eastAsia="Calibri" w:hAnsi="David" w:cs="David"/>
          <w:sz w:val="16"/>
          <w:szCs w:val="16"/>
          <w:rtl/>
        </w:rPr>
      </w:pPr>
    </w:p>
    <w:p w14:paraId="20F337D9" w14:textId="1BE433C8" w:rsidR="000865B7" w:rsidRDefault="000865B7" w:rsidP="000865B7">
      <w:pPr>
        <w:contextualSpacing/>
        <w:jc w:val="center"/>
        <w:rPr>
          <w:rFonts w:cs="David"/>
          <w:b/>
          <w:bCs/>
          <w:color w:val="0070C0"/>
          <w:u w:val="single"/>
          <w:rtl/>
          <w:lang w:eastAsia="he-IL"/>
        </w:rPr>
      </w:pPr>
      <w:hyperlink r:id="rId16"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Pr>
          <w:rFonts w:cs="David" w:hint="cs"/>
          <w:b/>
          <w:bCs/>
          <w:color w:val="0070C0"/>
          <w:rtl/>
          <w:lang w:eastAsia="he-IL"/>
        </w:rPr>
        <w:t>נ</w:t>
      </w:r>
      <w:r w:rsidRPr="00A355EC">
        <w:rPr>
          <w:rFonts w:cs="David" w:hint="cs"/>
          <w:b/>
          <w:bCs/>
          <w:color w:val="0070C0"/>
          <w:rtl/>
          <w:lang w:eastAsia="he-IL"/>
        </w:rPr>
        <w:t xml:space="preserve">יתן ליצור קשר עם הכותבים דרך:  </w:t>
      </w:r>
      <w:hyperlink r:id="rId17" w:history="1">
        <w:r w:rsidRPr="00A355EC">
          <w:rPr>
            <w:rFonts w:cs="David"/>
            <w:b/>
            <w:bCs/>
            <w:color w:val="0070C0"/>
            <w:u w:val="single"/>
            <w:lang w:eastAsia="he-IL"/>
          </w:rPr>
          <w:t>info@eretzhemdah.org</w:t>
        </w:r>
      </w:hyperlink>
    </w:p>
    <w:p w14:paraId="4E0BB4CA" w14:textId="2DB23ED9" w:rsidR="001953F7" w:rsidRPr="007B5151" w:rsidRDefault="001953F7" w:rsidP="001953F7">
      <w:pPr>
        <w:contextualSpacing/>
        <w:jc w:val="center"/>
        <w:rPr>
          <w:rFonts w:cs="David"/>
          <w:b/>
          <w:bCs/>
          <w:color w:val="0070C0"/>
          <w:rtl/>
          <w:lang w:eastAsia="he-IL"/>
        </w:rPr>
      </w:pPr>
      <w:r>
        <w:rPr>
          <w:rStyle w:val="Hyperlink"/>
          <w:rFonts w:cs="David" w:hint="cs"/>
          <w:b/>
          <w:bCs/>
          <w:sz w:val="23"/>
          <w:szCs w:val="23"/>
          <w:u w:val="none"/>
          <w:rtl/>
          <w:lang w:eastAsia="he-IL"/>
        </w:rPr>
        <w:lastRenderedPageBreak/>
        <w:t xml:space="preserve">       </w:t>
      </w:r>
      <w:r>
        <w:rPr>
          <w:rFonts w:cs="David" w:hint="cs"/>
          <w:b/>
          <w:bCs/>
          <w:color w:val="0070C0"/>
          <w:rtl/>
          <w:lang w:eastAsia="he-IL"/>
        </w:rPr>
        <w:t xml:space="preserve">  </w:t>
      </w:r>
    </w:p>
    <w:bookmarkEnd w:id="0"/>
    <w:bookmarkEnd w:id="5"/>
    <w:bookmarkEnd w:id="6"/>
    <w:p w14:paraId="64D2CB0C" w14:textId="0A26C2A2" w:rsidR="00C859D7" w:rsidRDefault="00C859D7" w:rsidP="00CF1F1C">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Default="00C859D7" w:rsidP="00F35BD1">
      <w:pPr>
        <w:contextualSpacing/>
        <w:rPr>
          <w:rFonts w:ascii="David" w:hAnsi="David" w:cs="David"/>
        </w:rPr>
      </w:pPr>
    </w:p>
    <w:p w14:paraId="5D48706F" w14:textId="77777777" w:rsidR="00C859D7" w:rsidRDefault="00C859D7" w:rsidP="00F35BD1">
      <w:pPr>
        <w:contextualSpacing/>
        <w:rPr>
          <w:rFonts w:ascii="David" w:hAnsi="David" w:cs="David"/>
        </w:rPr>
      </w:pPr>
    </w:p>
    <w:p w14:paraId="4A68C0EB" w14:textId="77777777" w:rsidR="00C4104E" w:rsidRPr="00CF1F1C" w:rsidRDefault="00C4104E" w:rsidP="00C4104E">
      <w:pPr>
        <w:widowControl w:val="0"/>
        <w:autoSpaceDE w:val="0"/>
        <w:autoSpaceDN w:val="0"/>
        <w:adjustRightInd w:val="0"/>
        <w:contextualSpacing/>
        <w:rPr>
          <w:rFonts w:ascii="David" w:hAnsi="David" w:cs="David"/>
          <w:sz w:val="12"/>
          <w:szCs w:val="12"/>
          <w:rtl/>
        </w:rPr>
      </w:pPr>
    </w:p>
    <w:p w14:paraId="1F4029FE" w14:textId="77777777" w:rsidR="001074DF" w:rsidRPr="001074DF" w:rsidRDefault="001074DF" w:rsidP="001074DF">
      <w:pPr>
        <w:ind w:left="-1"/>
        <w:contextualSpacing/>
        <w:rPr>
          <w:rFonts w:ascii="David" w:hAnsi="David" w:cs="David"/>
          <w:rtl/>
        </w:rPr>
      </w:pPr>
      <w:r w:rsidRPr="001074DF">
        <w:rPr>
          <w:rFonts w:ascii="David" w:hAnsi="David" w:cs="David"/>
          <w:rtl/>
        </w:rPr>
        <w:t xml:space="preserve">(מתוך </w:t>
      </w:r>
      <w:proofErr w:type="spellStart"/>
      <w:r w:rsidRPr="001074DF">
        <w:rPr>
          <w:rFonts w:ascii="David" w:hAnsi="David" w:cs="David"/>
          <w:rtl/>
        </w:rPr>
        <w:t>ח</w:t>
      </w:r>
      <w:r w:rsidRPr="001074DF">
        <w:rPr>
          <w:rFonts w:ascii="David" w:hAnsi="David" w:cs="David" w:hint="cs"/>
          <w:rtl/>
        </w:rPr>
        <w:t>"</w:t>
      </w:r>
      <w:r w:rsidRPr="001074DF">
        <w:rPr>
          <w:rFonts w:ascii="David" w:hAnsi="David" w:cs="David"/>
          <w:rtl/>
        </w:rPr>
        <w:t>ב</w:t>
      </w:r>
      <w:proofErr w:type="spellEnd"/>
      <w:r w:rsidRPr="001074DF">
        <w:rPr>
          <w:rFonts w:ascii="David" w:hAnsi="David" w:cs="David"/>
          <w:rtl/>
        </w:rPr>
        <w:t>)</w:t>
      </w:r>
    </w:p>
    <w:p w14:paraId="7B97CB4A" w14:textId="77777777" w:rsidR="001074DF" w:rsidRPr="001074DF" w:rsidRDefault="001074DF" w:rsidP="001074DF">
      <w:pPr>
        <w:ind w:left="-1"/>
        <w:contextualSpacing/>
        <w:rPr>
          <w:rFonts w:ascii="David" w:hAnsi="David" w:cs="David"/>
          <w:rtl/>
        </w:rPr>
      </w:pPr>
    </w:p>
    <w:p w14:paraId="095EC3CE" w14:textId="75E9746A" w:rsidR="001074DF" w:rsidRPr="001074DF" w:rsidRDefault="001074DF" w:rsidP="001074DF">
      <w:pPr>
        <w:ind w:left="-1"/>
        <w:contextualSpacing/>
        <w:rPr>
          <w:rFonts w:ascii="David" w:hAnsi="David" w:cs="David"/>
          <w:b/>
          <w:bCs/>
          <w:sz w:val="32"/>
          <w:szCs w:val="32"/>
          <w:rtl/>
        </w:rPr>
      </w:pPr>
      <w:proofErr w:type="spellStart"/>
      <w:r w:rsidRPr="001074DF">
        <w:rPr>
          <w:rFonts w:ascii="David" w:hAnsi="David" w:cs="David"/>
          <w:b/>
          <w:bCs/>
          <w:sz w:val="32"/>
          <w:szCs w:val="32"/>
          <w:rtl/>
        </w:rPr>
        <w:t>קראקאס</w:t>
      </w:r>
      <w:proofErr w:type="spellEnd"/>
      <w:r w:rsidRPr="001074DF">
        <w:rPr>
          <w:rFonts w:ascii="David" w:hAnsi="David" w:cs="David"/>
          <w:b/>
          <w:bCs/>
          <w:sz w:val="32"/>
          <w:szCs w:val="32"/>
          <w:rtl/>
        </w:rPr>
        <w:t>, ונצואלה</w:t>
      </w:r>
      <w:r w:rsidRPr="001074DF">
        <w:rPr>
          <w:rFonts w:ascii="David" w:hAnsi="David" w:cs="David"/>
          <w:b/>
          <w:bCs/>
          <w:sz w:val="32"/>
          <w:szCs w:val="32"/>
          <w:rtl/>
        </w:rPr>
        <w:tab/>
      </w:r>
      <w:r w:rsidRPr="001074DF">
        <w:rPr>
          <w:rFonts w:ascii="David" w:hAnsi="David" w:cs="David"/>
          <w:b/>
          <w:bCs/>
          <w:sz w:val="32"/>
          <w:szCs w:val="32"/>
          <w:rtl/>
        </w:rPr>
        <w:tab/>
      </w:r>
      <w:r w:rsidRPr="001074DF">
        <w:rPr>
          <w:rFonts w:ascii="David" w:hAnsi="David" w:cs="David"/>
          <w:b/>
          <w:bCs/>
          <w:sz w:val="32"/>
          <w:szCs w:val="32"/>
          <w:rtl/>
        </w:rPr>
        <w:tab/>
      </w:r>
      <w:r w:rsidRPr="001074DF">
        <w:rPr>
          <w:rFonts w:ascii="David" w:hAnsi="David" w:cs="David"/>
          <w:b/>
          <w:bCs/>
          <w:sz w:val="32"/>
          <w:szCs w:val="32"/>
          <w:rtl/>
        </w:rPr>
        <w:tab/>
      </w:r>
      <w:r w:rsidRPr="001074DF">
        <w:rPr>
          <w:rFonts w:ascii="David" w:hAnsi="David" w:cs="David"/>
          <w:b/>
          <w:bCs/>
          <w:sz w:val="32"/>
          <w:szCs w:val="32"/>
          <w:rtl/>
        </w:rPr>
        <w:tab/>
        <w:t xml:space="preserve">                       </w:t>
      </w:r>
      <w:r w:rsidRPr="001074DF">
        <w:rPr>
          <w:rFonts w:ascii="David" w:hAnsi="David" w:cs="David" w:hint="cs"/>
          <w:b/>
          <w:bCs/>
          <w:sz w:val="32"/>
          <w:szCs w:val="32"/>
          <w:rtl/>
        </w:rPr>
        <w:t xml:space="preserve"> </w:t>
      </w:r>
      <w:r>
        <w:rPr>
          <w:rFonts w:ascii="David" w:hAnsi="David" w:cs="David"/>
          <w:b/>
          <w:bCs/>
          <w:sz w:val="32"/>
          <w:szCs w:val="32"/>
          <w:rtl/>
        </w:rPr>
        <w:tab/>
      </w:r>
      <w:r w:rsidRPr="001074DF">
        <w:rPr>
          <w:rFonts w:ascii="David" w:hAnsi="David" w:cs="David" w:hint="cs"/>
          <w:b/>
          <w:bCs/>
          <w:sz w:val="32"/>
          <w:szCs w:val="32"/>
          <w:rtl/>
        </w:rPr>
        <w:t xml:space="preserve">    </w:t>
      </w:r>
      <w:r w:rsidRPr="001074DF">
        <w:rPr>
          <w:rFonts w:ascii="David" w:hAnsi="David" w:cs="David"/>
          <w:b/>
          <w:bCs/>
          <w:sz w:val="32"/>
          <w:szCs w:val="32"/>
          <w:rtl/>
        </w:rPr>
        <w:t xml:space="preserve">  </w:t>
      </w:r>
      <w:r w:rsidRPr="001074DF">
        <w:rPr>
          <w:rFonts w:ascii="David" w:hAnsi="David" w:cs="David"/>
          <w:b/>
          <w:bCs/>
          <w:sz w:val="32"/>
          <w:szCs w:val="32"/>
        </w:rPr>
        <w:t>Caracas, Venezuela</w:t>
      </w:r>
    </w:p>
    <w:p w14:paraId="138A7B4C" w14:textId="77777777" w:rsidR="001074DF" w:rsidRPr="001074DF" w:rsidRDefault="001074DF" w:rsidP="001074DF">
      <w:pPr>
        <w:ind w:left="-1"/>
        <w:contextualSpacing/>
        <w:rPr>
          <w:rFonts w:ascii="David" w:hAnsi="David" w:cs="David"/>
          <w:rtl/>
        </w:rPr>
      </w:pPr>
      <w:r w:rsidRPr="001074DF">
        <w:rPr>
          <w:rFonts w:ascii="David" w:hAnsi="David" w:cs="David"/>
          <w:rtl/>
        </w:rPr>
        <w:t>תמוז, תשנ"א</w:t>
      </w:r>
    </w:p>
    <w:p w14:paraId="42A8D4B2" w14:textId="77777777" w:rsidR="001074DF" w:rsidRPr="001074DF" w:rsidRDefault="001074DF" w:rsidP="001074DF">
      <w:pPr>
        <w:ind w:left="-1"/>
        <w:contextualSpacing/>
        <w:rPr>
          <w:rFonts w:ascii="David" w:hAnsi="David" w:cs="David"/>
          <w:rtl/>
        </w:rPr>
      </w:pPr>
    </w:p>
    <w:p w14:paraId="61F49272" w14:textId="77777777" w:rsidR="001074DF" w:rsidRPr="001074DF" w:rsidRDefault="001074DF" w:rsidP="001074DF">
      <w:pPr>
        <w:ind w:left="-1"/>
        <w:contextualSpacing/>
        <w:rPr>
          <w:rFonts w:ascii="David" w:hAnsi="David" w:cs="David"/>
          <w:b/>
          <w:bCs/>
          <w:color w:val="0070C0"/>
          <w:kern w:val="2"/>
          <w:sz w:val="30"/>
          <w:szCs w:val="30"/>
          <w:rtl/>
          <w14:ligatures w14:val="standardContextual"/>
        </w:rPr>
      </w:pPr>
      <w:r w:rsidRPr="001074DF">
        <w:rPr>
          <w:rFonts w:ascii="David" w:hAnsi="David" w:cs="David"/>
          <w:b/>
          <w:bCs/>
          <w:color w:val="0070C0"/>
          <w:kern w:val="2"/>
          <w:sz w:val="30"/>
          <w:szCs w:val="30"/>
          <w:rtl/>
          <w14:ligatures w14:val="standardContextual"/>
        </w:rPr>
        <w:t>שימוש במעלית רגילה בשבת לדבר מצוה כשהיא מופעלת על ידי גוי</w:t>
      </w:r>
    </w:p>
    <w:p w14:paraId="7EA2FAD3" w14:textId="77777777" w:rsidR="001074DF" w:rsidRPr="001074DF" w:rsidRDefault="001074DF" w:rsidP="001074DF">
      <w:pPr>
        <w:ind w:left="-1"/>
        <w:contextualSpacing/>
        <w:rPr>
          <w:rFonts w:ascii="David" w:hAnsi="David" w:cs="David"/>
          <w:rtl/>
        </w:rPr>
      </w:pPr>
    </w:p>
    <w:p w14:paraId="4D7D6192" w14:textId="77777777" w:rsidR="001074DF" w:rsidRPr="001074DF" w:rsidRDefault="001074DF" w:rsidP="001074DF">
      <w:pPr>
        <w:keepNext/>
        <w:ind w:left="-1"/>
        <w:contextualSpacing/>
        <w:outlineLvl w:val="0"/>
        <w:rPr>
          <w:rFonts w:ascii="David" w:hAnsi="David" w:cs="David"/>
          <w:b/>
          <w:bCs/>
          <w:sz w:val="26"/>
          <w:szCs w:val="26"/>
          <w:rtl/>
        </w:rPr>
      </w:pPr>
      <w:r w:rsidRPr="001074DF">
        <w:rPr>
          <w:rFonts w:ascii="David" w:hAnsi="David" w:cs="David"/>
          <w:b/>
          <w:bCs/>
          <w:sz w:val="26"/>
          <w:szCs w:val="26"/>
          <w:rtl/>
        </w:rPr>
        <w:t>שאלה</w:t>
      </w:r>
    </w:p>
    <w:p w14:paraId="5E14EDB0" w14:textId="77777777" w:rsidR="001074DF" w:rsidRPr="001074DF" w:rsidRDefault="001074DF" w:rsidP="001074DF">
      <w:pPr>
        <w:ind w:left="-1"/>
        <w:contextualSpacing/>
        <w:rPr>
          <w:rFonts w:ascii="David" w:hAnsi="David" w:cs="David"/>
          <w:rtl/>
        </w:rPr>
      </w:pPr>
      <w:r w:rsidRPr="001074DF">
        <w:rPr>
          <w:rFonts w:ascii="David" w:hAnsi="David" w:cs="David"/>
          <w:rtl/>
        </w:rPr>
        <w:t>במדינת ונצואלה קיים מצב של עוני הגורם להתפתחות של אלימות וגנבות ברחובות העיר. הנוהג הוא שאנשים אינם מסתובבים ברגל ממקום למקום, אלא ברכב, שמא יבוא גנב ובדרך אלימות יפגע באדם (מדובר בפגיעות פיזיות, מכות, אקדח, סכין).</w:t>
      </w:r>
    </w:p>
    <w:p w14:paraId="63EF55FF" w14:textId="77777777" w:rsidR="001074DF" w:rsidRPr="001074DF" w:rsidRDefault="001074DF" w:rsidP="001074DF">
      <w:pPr>
        <w:ind w:left="-1"/>
        <w:contextualSpacing/>
        <w:rPr>
          <w:rFonts w:ascii="David" w:hAnsi="David" w:cs="David"/>
          <w:rtl/>
        </w:rPr>
      </w:pPr>
      <w:r w:rsidRPr="001074DF">
        <w:rPr>
          <w:rFonts w:ascii="David" w:hAnsi="David" w:cs="David"/>
          <w:rtl/>
        </w:rPr>
        <w:t>היהודים גרים בשכונה אחת בה נמצאים בתי הכנסיות ובנין הקהילה. גם בשכונה זו מרובים מקרי הפשיעה. בשכונה זו קיים פארק אשר בתוכו נמצאים חמישה בנינים המגודרים היטב ושומרים מפני פריצות ומעשי אלימות. רוב התושבים בבניינים אלו הם יהודים.</w:t>
      </w:r>
    </w:p>
    <w:p w14:paraId="6FC30867" w14:textId="77777777" w:rsidR="001074DF" w:rsidRPr="001074DF" w:rsidRDefault="001074DF" w:rsidP="001074DF">
      <w:pPr>
        <w:ind w:left="-1"/>
        <w:contextualSpacing/>
        <w:rPr>
          <w:rFonts w:ascii="David" w:hAnsi="David" w:cs="David"/>
          <w:rtl/>
        </w:rPr>
      </w:pPr>
      <w:r w:rsidRPr="001074DF">
        <w:rPr>
          <w:rFonts w:ascii="David" w:hAnsi="David" w:cs="David"/>
          <w:rtl/>
        </w:rPr>
        <w:t>מכיוון שיש חשיבות רבה לגור בבניינים המוזכרים, השמורים ומוקפים בגדר, יש קושי רב להשיג בהם דירות.</w:t>
      </w:r>
    </w:p>
    <w:p w14:paraId="28263F6C" w14:textId="2FF16366" w:rsidR="001074DF" w:rsidRPr="001074DF" w:rsidRDefault="001074DF" w:rsidP="001074DF">
      <w:pPr>
        <w:ind w:left="-1"/>
        <w:contextualSpacing/>
        <w:rPr>
          <w:rFonts w:ascii="David" w:hAnsi="David" w:cs="David"/>
          <w:rtl/>
        </w:rPr>
      </w:pPr>
      <w:r w:rsidRPr="001074DF">
        <w:rPr>
          <w:rFonts w:ascii="David" w:hAnsi="David" w:cs="David"/>
          <w:rtl/>
        </w:rPr>
        <w:t>משפחה מצאה דירה בקומה 15. מבחינה מעשית יש קושי גדול לעלות ולרדת מספר פעמים בשבת ויו"ט עם  הילדים לבית הכנסת וכן יש קושי לארח אורחים אשר ימנעו מלבוא לקומה זו.</w:t>
      </w:r>
    </w:p>
    <w:p w14:paraId="5E5BCA34" w14:textId="77777777" w:rsidR="001074DF" w:rsidRPr="001074DF" w:rsidRDefault="001074DF" w:rsidP="001074DF">
      <w:pPr>
        <w:ind w:left="-1"/>
        <w:contextualSpacing/>
        <w:rPr>
          <w:rFonts w:ascii="David" w:hAnsi="David" w:cs="David"/>
          <w:rtl/>
        </w:rPr>
      </w:pPr>
      <w:r w:rsidRPr="001074DF">
        <w:rPr>
          <w:rFonts w:ascii="David" w:hAnsi="David" w:cs="David"/>
          <w:rtl/>
        </w:rPr>
        <w:t>יש לציין עוד שלמגורים בבניינים אלו יש חשיבות גם מבחינת האפקט הפסיכולוגי למשפחה, כך הם מרגישים יותר מוגנים ובטוחים.</w:t>
      </w:r>
    </w:p>
    <w:p w14:paraId="02692109" w14:textId="77777777" w:rsidR="001074DF" w:rsidRPr="001074DF" w:rsidRDefault="001074DF" w:rsidP="001074DF">
      <w:pPr>
        <w:ind w:left="-1"/>
        <w:contextualSpacing/>
        <w:rPr>
          <w:rFonts w:ascii="David" w:hAnsi="David" w:cs="David"/>
          <w:rtl/>
        </w:rPr>
      </w:pPr>
      <w:r w:rsidRPr="001074DF">
        <w:rPr>
          <w:rFonts w:ascii="David" w:hAnsi="David" w:cs="David"/>
          <w:rtl/>
        </w:rPr>
        <w:t>האם יש דרך להתיר עליה וירידה במעלית (במיוחד עליה) על ידי אמירה לגוי (בהתחשב במצב הבטחוני)? ואם לאו, האם אפשר להכנס למעלית לאחר כניסתה של העוזרת הגויה ללא אמירה של ישראל.</w:t>
      </w:r>
    </w:p>
    <w:p w14:paraId="1624F837" w14:textId="77777777" w:rsidR="001074DF" w:rsidRPr="001074DF" w:rsidRDefault="001074DF" w:rsidP="001074DF">
      <w:pPr>
        <w:ind w:left="-1"/>
        <w:contextualSpacing/>
        <w:rPr>
          <w:rFonts w:ascii="David" w:hAnsi="David" w:cs="David"/>
          <w:b/>
          <w:bCs/>
          <w:rtl/>
        </w:rPr>
      </w:pPr>
    </w:p>
    <w:p w14:paraId="23531453" w14:textId="77777777" w:rsidR="001074DF" w:rsidRPr="001074DF" w:rsidRDefault="001074DF" w:rsidP="001074DF">
      <w:pPr>
        <w:keepNext/>
        <w:ind w:left="-1"/>
        <w:contextualSpacing/>
        <w:outlineLvl w:val="0"/>
        <w:rPr>
          <w:rFonts w:ascii="David" w:hAnsi="David" w:cs="David"/>
          <w:b/>
          <w:bCs/>
          <w:sz w:val="26"/>
          <w:szCs w:val="26"/>
          <w:rtl/>
        </w:rPr>
      </w:pPr>
      <w:r w:rsidRPr="001074DF">
        <w:rPr>
          <w:rFonts w:ascii="David" w:hAnsi="David" w:cs="David"/>
          <w:b/>
          <w:bCs/>
          <w:sz w:val="26"/>
          <w:szCs w:val="26"/>
          <w:rtl/>
        </w:rPr>
        <w:t>תשובה</w:t>
      </w:r>
    </w:p>
    <w:p w14:paraId="453F836D" w14:textId="77777777" w:rsidR="001074DF" w:rsidRPr="001074DF" w:rsidRDefault="001074DF" w:rsidP="001074DF">
      <w:pPr>
        <w:ind w:left="-1"/>
        <w:contextualSpacing/>
        <w:rPr>
          <w:rFonts w:ascii="David" w:hAnsi="David" w:cs="David"/>
          <w:rtl/>
        </w:rPr>
      </w:pPr>
      <w:r w:rsidRPr="001074DF">
        <w:rPr>
          <w:rFonts w:ascii="David" w:hAnsi="David" w:cs="David"/>
          <w:rtl/>
        </w:rPr>
        <w:t>בתחילת דברינו נציין ששימוש במעלית כולל שני חלקים:</w:t>
      </w:r>
    </w:p>
    <w:p w14:paraId="30A1CD2E" w14:textId="77777777" w:rsidR="001074DF" w:rsidRPr="001074DF" w:rsidRDefault="001074DF" w:rsidP="001074DF">
      <w:pPr>
        <w:ind w:left="-1"/>
        <w:contextualSpacing/>
        <w:rPr>
          <w:rFonts w:ascii="David" w:hAnsi="David" w:cs="David"/>
          <w:rtl/>
        </w:rPr>
      </w:pPr>
      <w:r w:rsidRPr="001074DF">
        <w:rPr>
          <w:rFonts w:ascii="David" w:hAnsi="David" w:cs="David"/>
          <w:rtl/>
        </w:rPr>
        <w:t xml:space="preserve">א. הפעלתה; ב. השימוש בה לאחר הפעלתה, </w:t>
      </w:r>
      <w:proofErr w:type="spellStart"/>
      <w:r w:rsidRPr="001074DF">
        <w:rPr>
          <w:rFonts w:ascii="David" w:hAnsi="David" w:cs="David"/>
          <w:rtl/>
        </w:rPr>
        <w:t>וכדלהלן</w:t>
      </w:r>
      <w:proofErr w:type="spellEnd"/>
      <w:r w:rsidRPr="001074DF">
        <w:rPr>
          <w:rFonts w:ascii="David" w:hAnsi="David" w:cs="David"/>
          <w:rtl/>
        </w:rPr>
        <w:t>.</w:t>
      </w:r>
    </w:p>
    <w:p w14:paraId="4A493CB8" w14:textId="77777777" w:rsidR="001074DF" w:rsidRPr="001074DF" w:rsidRDefault="001074DF" w:rsidP="001074DF">
      <w:pPr>
        <w:ind w:left="-1"/>
        <w:contextualSpacing/>
        <w:rPr>
          <w:rFonts w:ascii="David" w:hAnsi="David" w:cs="David"/>
          <w:rtl/>
        </w:rPr>
      </w:pPr>
      <w:r w:rsidRPr="001074DF">
        <w:rPr>
          <w:rFonts w:ascii="David" w:hAnsi="David" w:cs="David"/>
          <w:rtl/>
        </w:rPr>
        <w:t xml:space="preserve">בהפעלת מעלית בשבת נעשות בדרך כלל שתי פעולות אסורות. הראשונה </w:t>
      </w:r>
      <w:r w:rsidRPr="001074DF">
        <w:rPr>
          <w:rFonts w:ascii="David" w:hAnsi="David" w:cs="David"/>
        </w:rPr>
        <w:t>–</w:t>
      </w:r>
      <w:r w:rsidRPr="001074DF">
        <w:rPr>
          <w:rFonts w:ascii="David" w:hAnsi="David" w:cs="David"/>
          <w:rtl/>
        </w:rPr>
        <w:t xml:space="preserve"> הדלקת הנורות שבמנגנון ההפעלה (ואם יש בהן חוט-להט יש בהדלקתן מלאכה דאורייתא </w:t>
      </w:r>
      <w:r w:rsidRPr="001074DF">
        <w:rPr>
          <w:rFonts w:ascii="David" w:hAnsi="David" w:cs="David"/>
        </w:rPr>
        <w:t>–</w:t>
      </w:r>
      <w:r w:rsidRPr="001074DF">
        <w:rPr>
          <w:rFonts w:ascii="David" w:hAnsi="David" w:cs="David"/>
          <w:rtl/>
        </w:rPr>
        <w:t xml:space="preserve"> מבעיר בשבת)</w:t>
      </w:r>
      <w:r w:rsidRPr="001074DF">
        <w:rPr>
          <w:rFonts w:ascii="David" w:hAnsi="David" w:cs="David" w:hint="cs"/>
          <w:vertAlign w:val="superscript"/>
          <w:rtl/>
        </w:rPr>
        <w:t>1</w:t>
      </w:r>
      <w:r w:rsidRPr="001074DF">
        <w:rPr>
          <w:rFonts w:ascii="David" w:hAnsi="David" w:cs="David"/>
          <w:rtl/>
        </w:rPr>
        <w:t xml:space="preserve">. </w:t>
      </w:r>
      <w:proofErr w:type="spellStart"/>
      <w:r w:rsidRPr="001074DF">
        <w:rPr>
          <w:rFonts w:ascii="David" w:hAnsi="David" w:cs="David"/>
          <w:rtl/>
        </w:rPr>
        <w:t>והשניה</w:t>
      </w:r>
      <w:proofErr w:type="spellEnd"/>
      <w:r w:rsidRPr="001074DF">
        <w:rPr>
          <w:rFonts w:ascii="David" w:hAnsi="David" w:cs="David"/>
          <w:rtl/>
        </w:rPr>
        <w:t xml:space="preserve"> </w:t>
      </w:r>
      <w:r w:rsidRPr="001074DF">
        <w:rPr>
          <w:rFonts w:ascii="David" w:hAnsi="David" w:cs="David"/>
        </w:rPr>
        <w:t>–</w:t>
      </w:r>
      <w:r w:rsidRPr="001074DF">
        <w:rPr>
          <w:rFonts w:ascii="David" w:hAnsi="David" w:cs="David"/>
          <w:rtl/>
        </w:rPr>
        <w:t xml:space="preserve"> הולדת זרם ויצירת ניצוצות אשר לרוב הפוסקים אין בהן אלא איסור דרבנן</w:t>
      </w:r>
      <w:r w:rsidRPr="001074DF">
        <w:rPr>
          <w:rFonts w:ascii="David" w:hAnsi="David" w:cs="David" w:hint="cs"/>
          <w:vertAlign w:val="superscript"/>
          <w:rtl/>
        </w:rPr>
        <w:t>2</w:t>
      </w:r>
      <w:r w:rsidRPr="001074DF">
        <w:rPr>
          <w:rFonts w:ascii="David" w:hAnsi="David" w:cs="David"/>
          <w:rtl/>
        </w:rPr>
        <w:t>. ההבחנה הנ"ל חשובה בקשר לשאלתך, שכן אמירה לגוי באיסור דרבנן במקום מצוה מותר</w:t>
      </w:r>
      <w:r w:rsidRPr="001074DF">
        <w:rPr>
          <w:rFonts w:ascii="David" w:hAnsi="David" w:cs="David" w:hint="cs"/>
          <w:vertAlign w:val="superscript"/>
          <w:rtl/>
        </w:rPr>
        <w:t>3</w:t>
      </w:r>
      <w:r w:rsidRPr="001074DF">
        <w:rPr>
          <w:rFonts w:ascii="David" w:hAnsi="David" w:cs="David"/>
          <w:rtl/>
        </w:rPr>
        <w:t xml:space="preserve">, וזהו הנקרא "שבות </w:t>
      </w:r>
      <w:proofErr w:type="spellStart"/>
      <w:r w:rsidRPr="001074DF">
        <w:rPr>
          <w:rFonts w:ascii="David" w:hAnsi="David" w:cs="David"/>
          <w:rtl/>
        </w:rPr>
        <w:t>דשבות</w:t>
      </w:r>
      <w:proofErr w:type="spellEnd"/>
      <w:r w:rsidRPr="001074DF">
        <w:rPr>
          <w:rFonts w:ascii="David" w:hAnsi="David" w:cs="David"/>
          <w:rtl/>
        </w:rPr>
        <w:t xml:space="preserve"> במקום מצוה" שהותרה</w:t>
      </w:r>
      <w:r w:rsidRPr="001074DF">
        <w:rPr>
          <w:rFonts w:ascii="David" w:hAnsi="David" w:cs="David" w:hint="cs"/>
          <w:vertAlign w:val="superscript"/>
          <w:rtl/>
        </w:rPr>
        <w:t>4</w:t>
      </w:r>
      <w:r w:rsidRPr="001074DF">
        <w:rPr>
          <w:rFonts w:ascii="David" w:hAnsi="David" w:cs="David"/>
          <w:rtl/>
        </w:rPr>
        <w:t>.</w:t>
      </w:r>
    </w:p>
    <w:p w14:paraId="76AB44F8" w14:textId="77777777" w:rsidR="001074DF" w:rsidRPr="001074DF" w:rsidRDefault="001074DF" w:rsidP="001074DF">
      <w:pPr>
        <w:ind w:left="-1"/>
        <w:contextualSpacing/>
        <w:rPr>
          <w:rFonts w:ascii="David" w:hAnsi="David" w:cs="David"/>
          <w:rtl/>
        </w:rPr>
      </w:pPr>
      <w:r w:rsidRPr="001074DF">
        <w:rPr>
          <w:rFonts w:ascii="David" w:hAnsi="David" w:cs="David"/>
          <w:rtl/>
        </w:rPr>
        <w:t>אמנם יש מן הפוסקים שכתב, שאמירה לגוי במקום מצוה מותר אפילו באיסור דאורייתא כשיש בה צורך גדול, אך דבריו לא נתקבלו להלכה</w:t>
      </w:r>
      <w:r w:rsidRPr="001074DF">
        <w:rPr>
          <w:rFonts w:ascii="David" w:hAnsi="David" w:cs="David" w:hint="cs"/>
          <w:vertAlign w:val="superscript"/>
          <w:rtl/>
        </w:rPr>
        <w:t>5</w:t>
      </w:r>
      <w:r w:rsidRPr="001074DF">
        <w:rPr>
          <w:rFonts w:ascii="David" w:hAnsi="David" w:cs="David"/>
          <w:rtl/>
        </w:rPr>
        <w:t xml:space="preserve">, ואמירה לגוי במקום מצוה מותרת אך ורק באיסור דרבנן. על כן יש לבדוק, אם בהפעלת המעלית ובהמשך הפעלתה לא נעשית שום מלאכה דאורייתא, כי אז תהא מותרת האמירה לגוי, אך </w:t>
      </w:r>
      <w:proofErr w:type="spellStart"/>
      <w:r w:rsidRPr="001074DF">
        <w:rPr>
          <w:rFonts w:ascii="David" w:hAnsi="David" w:cs="David"/>
          <w:rtl/>
        </w:rPr>
        <w:t>כאמר</w:t>
      </w:r>
      <w:proofErr w:type="spellEnd"/>
      <w:r w:rsidRPr="001074DF">
        <w:rPr>
          <w:rFonts w:ascii="David" w:hAnsi="David" w:cs="David"/>
          <w:rtl/>
        </w:rPr>
        <w:t xml:space="preserve"> </w:t>
      </w:r>
      <w:r w:rsidRPr="001074DF">
        <w:rPr>
          <w:rFonts w:ascii="David" w:hAnsi="David" w:cs="David"/>
        </w:rPr>
        <w:t>–</w:t>
      </w:r>
      <w:r w:rsidRPr="001074DF">
        <w:rPr>
          <w:rFonts w:ascii="David" w:hAnsi="David" w:cs="David"/>
          <w:rtl/>
        </w:rPr>
        <w:t xml:space="preserve"> לצורך הליכה לבית-הכנסת או דבר מצוה אחר בלבד.</w:t>
      </w:r>
    </w:p>
    <w:p w14:paraId="2381CE0A" w14:textId="77777777" w:rsidR="001074DF" w:rsidRPr="001074DF" w:rsidRDefault="001074DF" w:rsidP="001074DF">
      <w:pPr>
        <w:ind w:left="-1"/>
        <w:contextualSpacing/>
        <w:rPr>
          <w:rFonts w:ascii="David" w:hAnsi="David" w:cs="David"/>
          <w:rtl/>
        </w:rPr>
      </w:pPr>
      <w:r w:rsidRPr="001074DF">
        <w:rPr>
          <w:rFonts w:ascii="David" w:hAnsi="David" w:cs="David"/>
          <w:rtl/>
        </w:rPr>
        <w:t xml:space="preserve">ונציין שיש נוריות הפועלות על ידי הזרמת מתח חשמלי לתוך חומר כימי </w:t>
      </w:r>
      <w:proofErr w:type="spellStart"/>
      <w:r w:rsidRPr="001074DF">
        <w:rPr>
          <w:rFonts w:ascii="David" w:hAnsi="David" w:cs="David"/>
          <w:rtl/>
        </w:rPr>
        <w:t>מסויים</w:t>
      </w:r>
      <w:proofErr w:type="spellEnd"/>
      <w:r w:rsidRPr="001074DF">
        <w:rPr>
          <w:rFonts w:ascii="David" w:hAnsi="David" w:cs="David"/>
          <w:rtl/>
        </w:rPr>
        <w:t xml:space="preserve"> שעל ידי כך הוא מאיר (</w:t>
      </w:r>
      <w:r w:rsidRPr="001074DF">
        <w:rPr>
          <w:rFonts w:ascii="David" w:hAnsi="David" w:cs="David"/>
        </w:rPr>
        <w:t>LEDS</w:t>
      </w:r>
      <w:r w:rsidRPr="001074DF">
        <w:rPr>
          <w:rFonts w:ascii="David" w:hAnsi="David" w:cs="David"/>
          <w:rtl/>
        </w:rPr>
        <w:t>) ובהדלקתן של אלה יש רק איסור דרבנן</w:t>
      </w:r>
      <w:r w:rsidRPr="001074DF">
        <w:rPr>
          <w:rFonts w:ascii="David" w:hAnsi="David" w:cs="David" w:hint="cs"/>
          <w:vertAlign w:val="superscript"/>
          <w:rtl/>
        </w:rPr>
        <w:t>6</w:t>
      </w:r>
      <w:r w:rsidRPr="001074DF">
        <w:rPr>
          <w:rFonts w:ascii="David" w:hAnsi="David" w:cs="David"/>
          <w:rtl/>
        </w:rPr>
        <w:t>, שמותרת בו אמירה לגוי במקום מצוה. זהו מצד הפעלת המערכת.</w:t>
      </w:r>
    </w:p>
    <w:p w14:paraId="45CA177F" w14:textId="77777777" w:rsidR="001074DF" w:rsidRPr="001074DF" w:rsidRDefault="001074DF" w:rsidP="001074DF">
      <w:pPr>
        <w:ind w:left="-1"/>
        <w:contextualSpacing/>
        <w:rPr>
          <w:rFonts w:ascii="David" w:hAnsi="David" w:cs="David"/>
          <w:rtl/>
        </w:rPr>
      </w:pPr>
      <w:r w:rsidRPr="001074DF">
        <w:rPr>
          <w:rFonts w:ascii="David" w:hAnsi="David" w:cs="David"/>
          <w:rtl/>
        </w:rPr>
        <w:t xml:space="preserve">וישנן בעיות נוספות בהמשך הפעלתה, כלומר בעצם השימוש במעלית </w:t>
      </w:r>
      <w:proofErr w:type="spellStart"/>
      <w:r w:rsidRPr="001074DF">
        <w:rPr>
          <w:rFonts w:ascii="David" w:hAnsi="David" w:cs="David"/>
          <w:rtl/>
        </w:rPr>
        <w:t>וכדלהלן</w:t>
      </w:r>
      <w:proofErr w:type="spellEnd"/>
      <w:r w:rsidRPr="001074DF">
        <w:rPr>
          <w:rFonts w:ascii="David" w:hAnsi="David" w:cs="David"/>
          <w:rtl/>
        </w:rPr>
        <w:t>.</w:t>
      </w:r>
    </w:p>
    <w:p w14:paraId="74F43003" w14:textId="77777777" w:rsidR="001074DF" w:rsidRPr="001074DF" w:rsidRDefault="001074DF" w:rsidP="001074DF">
      <w:pPr>
        <w:ind w:left="-1"/>
        <w:contextualSpacing/>
        <w:rPr>
          <w:rFonts w:ascii="David" w:hAnsi="David" w:cs="David"/>
          <w:rtl/>
        </w:rPr>
      </w:pPr>
      <w:proofErr w:type="spellStart"/>
      <w:r w:rsidRPr="001074DF">
        <w:rPr>
          <w:rFonts w:ascii="David" w:hAnsi="David" w:cs="David"/>
          <w:rtl/>
        </w:rPr>
        <w:t>העליה</w:t>
      </w:r>
      <w:proofErr w:type="spellEnd"/>
      <w:r w:rsidRPr="001074DF">
        <w:rPr>
          <w:rFonts w:ascii="David" w:hAnsi="David" w:cs="David"/>
          <w:rtl/>
        </w:rPr>
        <w:t xml:space="preserve"> והירידה במעלית, אפילו במעלית שבת </w:t>
      </w:r>
      <w:proofErr w:type="spellStart"/>
      <w:r w:rsidRPr="001074DF">
        <w:rPr>
          <w:rFonts w:ascii="David" w:hAnsi="David" w:cs="David"/>
          <w:rtl/>
        </w:rPr>
        <w:t>אוטומאטית</w:t>
      </w:r>
      <w:proofErr w:type="spellEnd"/>
      <w:r w:rsidRPr="001074DF">
        <w:rPr>
          <w:rFonts w:ascii="David" w:hAnsi="David" w:cs="David"/>
          <w:rtl/>
        </w:rPr>
        <w:t xml:space="preserve">, עוררו בעיות </w:t>
      </w:r>
      <w:proofErr w:type="spellStart"/>
      <w:r w:rsidRPr="001074DF">
        <w:rPr>
          <w:rFonts w:ascii="David" w:hAnsi="David" w:cs="David"/>
          <w:rtl/>
        </w:rPr>
        <w:t>הלכיות</w:t>
      </w:r>
      <w:proofErr w:type="spellEnd"/>
      <w:r w:rsidRPr="001074DF">
        <w:rPr>
          <w:rFonts w:ascii="David" w:hAnsi="David" w:cs="David"/>
          <w:rtl/>
        </w:rPr>
        <w:t xml:space="preserve"> רבות.</w:t>
      </w:r>
    </w:p>
    <w:p w14:paraId="56E2CADD" w14:textId="77777777" w:rsidR="001074DF" w:rsidRPr="001074DF" w:rsidRDefault="001074DF" w:rsidP="001074DF">
      <w:pPr>
        <w:ind w:left="-1"/>
        <w:contextualSpacing/>
        <w:rPr>
          <w:rFonts w:ascii="David" w:hAnsi="David" w:cs="David"/>
          <w:rtl/>
        </w:rPr>
      </w:pPr>
      <w:r w:rsidRPr="001074DF">
        <w:rPr>
          <w:rFonts w:ascii="David" w:hAnsi="David" w:cs="David"/>
          <w:rtl/>
        </w:rPr>
        <w:t>כאן נציין את תמצית ההלכה, וראה הערה</w:t>
      </w:r>
      <w:r w:rsidRPr="001074DF">
        <w:rPr>
          <w:rFonts w:ascii="David" w:hAnsi="David" w:cs="David" w:hint="cs"/>
          <w:vertAlign w:val="superscript"/>
          <w:rtl/>
        </w:rPr>
        <w:t>7</w:t>
      </w:r>
      <w:r w:rsidRPr="001074DF">
        <w:rPr>
          <w:rFonts w:ascii="David" w:hAnsi="David" w:cs="David"/>
          <w:rtl/>
        </w:rPr>
        <w:t>.</w:t>
      </w:r>
    </w:p>
    <w:p w14:paraId="558D7027" w14:textId="77777777" w:rsidR="001074DF" w:rsidRPr="001074DF" w:rsidRDefault="001074DF" w:rsidP="001074DF">
      <w:pPr>
        <w:ind w:left="-1"/>
        <w:contextualSpacing/>
        <w:rPr>
          <w:rFonts w:ascii="David" w:hAnsi="David" w:cs="David"/>
          <w:rtl/>
        </w:rPr>
      </w:pPr>
      <w:r w:rsidRPr="001074DF">
        <w:rPr>
          <w:rFonts w:ascii="David" w:hAnsi="David" w:cs="David"/>
          <w:rtl/>
        </w:rPr>
        <w:t>לדעת רוב הפוסקים העלייה מותרת שהרי אין משקלו של האדם משתתף בהעלאת המעלית</w:t>
      </w:r>
      <w:r w:rsidRPr="001074DF">
        <w:rPr>
          <w:rFonts w:ascii="David" w:hAnsi="David" w:cs="David" w:hint="cs"/>
          <w:vertAlign w:val="superscript"/>
          <w:rtl/>
        </w:rPr>
        <w:t>8</w:t>
      </w:r>
      <w:r w:rsidRPr="001074DF">
        <w:rPr>
          <w:rFonts w:ascii="David" w:hAnsi="David" w:cs="David" w:hint="cs"/>
          <w:rtl/>
        </w:rPr>
        <w:t xml:space="preserve">. </w:t>
      </w:r>
      <w:r w:rsidRPr="001074DF">
        <w:rPr>
          <w:rFonts w:ascii="David" w:hAnsi="David" w:cs="David"/>
          <w:rtl/>
        </w:rPr>
        <w:t xml:space="preserve">ואולם לגבי הירידה דעת רבים מן הפוסקים היא להחמיר, אם לא הותקנו במעלית התקנים מיוחדים המתגברים על הבעיות </w:t>
      </w:r>
      <w:proofErr w:type="spellStart"/>
      <w:r w:rsidRPr="001074DF">
        <w:rPr>
          <w:rFonts w:ascii="David" w:hAnsi="David" w:cs="David"/>
          <w:rtl/>
        </w:rPr>
        <w:t>ההלכיות</w:t>
      </w:r>
      <w:proofErr w:type="spellEnd"/>
      <w:r w:rsidRPr="001074DF">
        <w:rPr>
          <w:rFonts w:ascii="David" w:hAnsi="David" w:cs="David"/>
          <w:rtl/>
        </w:rPr>
        <w:t xml:space="preserve"> הכרוכות בשימוש בה, דבר שוודאי לא נעשה בנידון דידן, שכן לדיירים לא היה וגם עתה אין עניין לעשות זאת, ומה עוד שזה עולה כסף רב.</w:t>
      </w:r>
    </w:p>
    <w:p w14:paraId="2E146947" w14:textId="77777777" w:rsidR="001074DF" w:rsidRPr="001074DF" w:rsidRDefault="001074DF" w:rsidP="001074DF">
      <w:pPr>
        <w:ind w:left="-1"/>
        <w:contextualSpacing/>
        <w:rPr>
          <w:rFonts w:ascii="David" w:hAnsi="David" w:cs="David"/>
          <w:rtl/>
        </w:rPr>
      </w:pPr>
      <w:r w:rsidRPr="001074DF">
        <w:rPr>
          <w:rFonts w:ascii="David" w:hAnsi="David" w:cs="David"/>
          <w:rtl/>
        </w:rPr>
        <w:t>להלן בעיות נוספות שישנן בשימוש במעלית כמתואר בשאלתך, אף כשהפעולה תיעשה על ידי גוי:</w:t>
      </w:r>
    </w:p>
    <w:p w14:paraId="60178BDA" w14:textId="77777777" w:rsidR="001074DF" w:rsidRPr="001074DF" w:rsidRDefault="001074DF" w:rsidP="001074DF">
      <w:pPr>
        <w:numPr>
          <w:ilvl w:val="0"/>
          <w:numId w:val="36"/>
        </w:numPr>
        <w:ind w:left="283" w:hanging="284"/>
        <w:contextualSpacing/>
        <w:rPr>
          <w:rFonts w:ascii="David" w:hAnsi="David" w:cs="David"/>
          <w:rtl/>
        </w:rPr>
      </w:pPr>
      <w:r w:rsidRPr="001074DF">
        <w:rPr>
          <w:rFonts w:ascii="David" w:hAnsi="David" w:cs="David"/>
          <w:rtl/>
        </w:rPr>
        <w:t>מתקני-שקילה לעומס מלא ועומס יתר שישנם במרבית המעליות המופעלים על ידי כניסת האדם במעלית ועמידתו בה.</w:t>
      </w:r>
    </w:p>
    <w:p w14:paraId="025D19D8" w14:textId="77777777" w:rsidR="001074DF" w:rsidRPr="001074DF" w:rsidRDefault="001074DF" w:rsidP="001074DF">
      <w:pPr>
        <w:numPr>
          <w:ilvl w:val="0"/>
          <w:numId w:val="36"/>
        </w:numPr>
        <w:ind w:left="283" w:hanging="284"/>
        <w:contextualSpacing/>
        <w:rPr>
          <w:rFonts w:ascii="David" w:hAnsi="David" w:cs="David"/>
          <w:rtl/>
        </w:rPr>
      </w:pPr>
      <w:r w:rsidRPr="001074DF">
        <w:rPr>
          <w:rFonts w:ascii="David" w:hAnsi="David" w:cs="David"/>
          <w:rtl/>
        </w:rPr>
        <w:t>הוא הדין באשר למעגלים חשמליים לדלתות ולהבטחה, המופעלים על ידי האדם עם כניסתו.</w:t>
      </w:r>
    </w:p>
    <w:p w14:paraId="48B5194F" w14:textId="77777777" w:rsidR="001074DF" w:rsidRPr="001074DF" w:rsidRDefault="001074DF" w:rsidP="001074DF">
      <w:pPr>
        <w:numPr>
          <w:ilvl w:val="0"/>
          <w:numId w:val="36"/>
        </w:numPr>
        <w:ind w:left="283" w:hanging="284"/>
        <w:contextualSpacing/>
        <w:rPr>
          <w:rFonts w:ascii="David" w:hAnsi="David" w:cs="David"/>
          <w:rtl/>
        </w:rPr>
      </w:pPr>
      <w:r w:rsidRPr="001074DF">
        <w:rPr>
          <w:rFonts w:ascii="David" w:hAnsi="David" w:cs="David"/>
          <w:rtl/>
        </w:rPr>
        <w:t>מצוי שהדלת מתחילה להיסגר וכניסת האדם מחזירה את הפעולה אחורנית בהפעילה עין פוטואלקטרית (קשה להימנע מזה כשמשתמשים במעלית באורח קבוע).</w:t>
      </w:r>
    </w:p>
    <w:p w14:paraId="6698BB20" w14:textId="77777777" w:rsidR="001074DF" w:rsidRPr="001074DF" w:rsidRDefault="001074DF" w:rsidP="001074DF">
      <w:pPr>
        <w:ind w:left="-1"/>
        <w:contextualSpacing/>
        <w:rPr>
          <w:rFonts w:ascii="David" w:hAnsi="David" w:cs="David"/>
          <w:rtl/>
        </w:rPr>
      </w:pPr>
      <w:r w:rsidRPr="001074DF">
        <w:rPr>
          <w:rFonts w:ascii="David" w:hAnsi="David" w:cs="David"/>
          <w:rtl/>
        </w:rPr>
        <w:t>נציין שבמעלית השבת המצויה מתגברים על בעיה זו על ידי ביטולם של כמה מנגנונים למשך השבת, דבר שלא שייך בנידון שאלתך.</w:t>
      </w:r>
    </w:p>
    <w:p w14:paraId="0C4F99CA" w14:textId="77777777" w:rsidR="001074DF" w:rsidRPr="001074DF" w:rsidRDefault="001074DF" w:rsidP="001074DF">
      <w:pPr>
        <w:ind w:left="-1"/>
        <w:contextualSpacing/>
        <w:rPr>
          <w:rFonts w:ascii="David" w:hAnsi="David" w:cs="David"/>
          <w:rtl/>
        </w:rPr>
      </w:pPr>
    </w:p>
    <w:p w14:paraId="64CB81B8" w14:textId="77777777" w:rsidR="001074DF" w:rsidRPr="001074DF" w:rsidRDefault="001074DF" w:rsidP="001074DF">
      <w:pPr>
        <w:ind w:left="-1"/>
        <w:contextualSpacing/>
        <w:rPr>
          <w:rFonts w:ascii="David" w:hAnsi="David" w:cs="David"/>
          <w:rtl/>
        </w:rPr>
      </w:pPr>
      <w:r w:rsidRPr="001074DF">
        <w:rPr>
          <w:rFonts w:ascii="David" w:hAnsi="David" w:cs="David"/>
          <w:rtl/>
        </w:rPr>
        <w:t xml:space="preserve">בשל מכלול הבעיות שהוזכרו, נראה כי יש לאסור את השימוש במעלית הנ"ל שלא הותקן בה שום התקן הלכי, אף על ידי אמירה לגוי, גם אם הוא לצורך הליכה לבית הכנסת, ובפרט כשאפשר לילך לבית הכנסת שלא על ידי הנ"ל, אף אם זה גורם </w:t>
      </w:r>
      <w:proofErr w:type="spellStart"/>
      <w:r w:rsidRPr="001074DF">
        <w:rPr>
          <w:rFonts w:ascii="David" w:hAnsi="David" w:cs="David"/>
          <w:rtl/>
        </w:rPr>
        <w:t>טירחה</w:t>
      </w:r>
      <w:proofErr w:type="spellEnd"/>
      <w:r w:rsidRPr="001074DF">
        <w:rPr>
          <w:rFonts w:ascii="David" w:hAnsi="David" w:cs="David"/>
          <w:rtl/>
        </w:rPr>
        <w:t xml:space="preserve"> רבה.</w:t>
      </w:r>
    </w:p>
    <w:p w14:paraId="6E3C578B" w14:textId="77777777" w:rsidR="001074DF" w:rsidRPr="001074DF" w:rsidRDefault="001074DF" w:rsidP="001074DF">
      <w:pPr>
        <w:ind w:left="-1"/>
        <w:contextualSpacing/>
        <w:rPr>
          <w:rFonts w:ascii="David" w:hAnsi="David" w:cs="David"/>
          <w:rtl/>
        </w:rPr>
      </w:pPr>
      <w:r w:rsidRPr="001074DF">
        <w:rPr>
          <w:rFonts w:ascii="David" w:hAnsi="David" w:cs="David"/>
          <w:rtl/>
        </w:rPr>
        <w:t xml:space="preserve">כל דברינו לעיל אמורים במקום שהגוי מפעיל את המעלית באמירת הישראל, </w:t>
      </w:r>
      <w:proofErr w:type="spellStart"/>
      <w:r w:rsidRPr="001074DF">
        <w:rPr>
          <w:rFonts w:ascii="David" w:hAnsi="David" w:cs="David"/>
          <w:rtl/>
        </w:rPr>
        <w:t>והישראל</w:t>
      </w:r>
      <w:proofErr w:type="spellEnd"/>
      <w:r w:rsidRPr="001074DF">
        <w:rPr>
          <w:rFonts w:ascii="David" w:hAnsi="David" w:cs="David"/>
          <w:rtl/>
        </w:rPr>
        <w:t xml:space="preserve"> נכנס ראשון, כי אז מתעוררות הבעיות שהוזכרו לעיל.</w:t>
      </w:r>
    </w:p>
    <w:p w14:paraId="1BF75853" w14:textId="77777777" w:rsidR="001074DF" w:rsidRPr="001074DF" w:rsidRDefault="001074DF" w:rsidP="001074DF">
      <w:pPr>
        <w:ind w:left="-1"/>
        <w:contextualSpacing/>
        <w:rPr>
          <w:rFonts w:ascii="David" w:hAnsi="David" w:cs="David"/>
          <w:rtl/>
        </w:rPr>
      </w:pPr>
      <w:r w:rsidRPr="001074DF">
        <w:rPr>
          <w:rFonts w:ascii="David" w:hAnsi="David" w:cs="David"/>
          <w:rtl/>
        </w:rPr>
        <w:t xml:space="preserve">שונה הדבר כאשר הגוי נכנס ללא אמירה, </w:t>
      </w:r>
      <w:proofErr w:type="spellStart"/>
      <w:r w:rsidRPr="001074DF">
        <w:rPr>
          <w:rFonts w:ascii="David" w:hAnsi="David" w:cs="David"/>
          <w:rtl/>
        </w:rPr>
        <w:t>והישראל</w:t>
      </w:r>
      <w:proofErr w:type="spellEnd"/>
      <w:r w:rsidRPr="001074DF">
        <w:rPr>
          <w:rFonts w:ascii="David" w:hAnsi="David" w:cs="David"/>
          <w:rtl/>
        </w:rPr>
        <w:t xml:space="preserve"> יכנס במעלית אחריו, כי אז יש מקום להקל בהליכה לבית הכנסת ולדבר מצוה אחר. שכן, במקרה זה הגוי הנכנס תחילה מפעיל את </w:t>
      </w:r>
      <w:proofErr w:type="spellStart"/>
      <w:r w:rsidRPr="001074DF">
        <w:rPr>
          <w:rFonts w:ascii="David" w:hAnsi="David" w:cs="David"/>
          <w:rtl/>
        </w:rPr>
        <w:t>המנגנוים</w:t>
      </w:r>
      <w:proofErr w:type="spellEnd"/>
      <w:r w:rsidRPr="001074DF">
        <w:rPr>
          <w:rFonts w:ascii="David" w:hAnsi="David" w:cs="David"/>
          <w:rtl/>
        </w:rPr>
        <w:t xml:space="preserve"> השונים שהזכרנו (התקן שקילה, עין פוטואלקטרית), </w:t>
      </w:r>
      <w:proofErr w:type="spellStart"/>
      <w:r w:rsidRPr="001074DF">
        <w:rPr>
          <w:rFonts w:ascii="David" w:hAnsi="David" w:cs="David"/>
          <w:rtl/>
        </w:rPr>
        <w:t>והישראל</w:t>
      </w:r>
      <w:proofErr w:type="spellEnd"/>
      <w:r w:rsidRPr="001074DF">
        <w:rPr>
          <w:rFonts w:ascii="David" w:hAnsi="David" w:cs="David"/>
          <w:rtl/>
        </w:rPr>
        <w:t xml:space="preserve"> הנכנס אחריו אינו מפעילם מחדש אלא ממשיך את הפעלתם, ואף אם הוא מגביר או מחליש את הזרם שבמנגנון על ידי כניסתו, ניתן להקל בזה. (ראה הערה 8).</w:t>
      </w:r>
    </w:p>
    <w:p w14:paraId="7B04201F" w14:textId="77777777" w:rsidR="001074DF" w:rsidRPr="001074DF" w:rsidRDefault="001074DF" w:rsidP="001074DF">
      <w:pPr>
        <w:ind w:left="-1"/>
        <w:contextualSpacing/>
        <w:rPr>
          <w:rFonts w:ascii="David" w:hAnsi="David" w:cs="David"/>
          <w:rtl/>
        </w:rPr>
      </w:pPr>
      <w:r w:rsidRPr="001074DF">
        <w:rPr>
          <w:rFonts w:ascii="David" w:hAnsi="David" w:cs="David"/>
          <w:rtl/>
        </w:rPr>
        <w:t>נדגיש שצריך לנקוט משנה זהירות, להכנס במעלית מייד אחרי הגוי או, בדרך חלופית, כאשר הגוי מכסה את העין הפוטואלקטרית על דעת עצמו וכדו'.</w:t>
      </w:r>
    </w:p>
    <w:p w14:paraId="68513966" w14:textId="77777777" w:rsidR="001074DF" w:rsidRPr="001074DF" w:rsidRDefault="001074DF" w:rsidP="001074DF">
      <w:pPr>
        <w:ind w:left="-1"/>
        <w:contextualSpacing/>
        <w:rPr>
          <w:rFonts w:ascii="David" w:hAnsi="David" w:cs="David"/>
          <w:rtl/>
        </w:rPr>
      </w:pPr>
    </w:p>
    <w:p w14:paraId="0F13ECE0" w14:textId="77777777" w:rsidR="001074DF" w:rsidRPr="001074DF" w:rsidRDefault="001074DF" w:rsidP="001074DF">
      <w:pPr>
        <w:ind w:left="-1"/>
        <w:contextualSpacing/>
        <w:rPr>
          <w:rFonts w:ascii="David" w:hAnsi="David" w:cs="David"/>
          <w:sz w:val="10"/>
          <w:szCs w:val="10"/>
          <w:rtl/>
        </w:rPr>
      </w:pPr>
      <w:r w:rsidRPr="001074DF">
        <w:rPr>
          <w:rFonts w:ascii="David" w:hAnsi="David" w:cs="David" w:hint="cs"/>
          <w:sz w:val="10"/>
          <w:szCs w:val="10"/>
          <w:rtl/>
        </w:rPr>
        <w:t>______________________________________________________</w:t>
      </w:r>
    </w:p>
    <w:p w14:paraId="0A7319A8" w14:textId="77777777" w:rsidR="001074DF" w:rsidRPr="001074DF" w:rsidRDefault="001074DF" w:rsidP="001074DF">
      <w:pPr>
        <w:ind w:left="-1"/>
        <w:contextualSpacing/>
        <w:rPr>
          <w:rFonts w:ascii="David" w:hAnsi="David" w:cs="David"/>
          <w:sz w:val="10"/>
          <w:szCs w:val="10"/>
          <w:rtl/>
        </w:rPr>
      </w:pPr>
    </w:p>
    <w:p w14:paraId="7CABF20F" w14:textId="77777777" w:rsidR="001074DF" w:rsidRPr="001074DF" w:rsidRDefault="001074DF" w:rsidP="001074DF">
      <w:pPr>
        <w:ind w:left="141" w:hanging="141"/>
        <w:contextualSpacing/>
        <w:rPr>
          <w:rFonts w:cs="David"/>
          <w:sz w:val="22"/>
          <w:szCs w:val="22"/>
          <w:rtl/>
        </w:rPr>
      </w:pPr>
      <w:r w:rsidRPr="001074DF">
        <w:rPr>
          <w:rFonts w:cs="David" w:hint="cs"/>
          <w:sz w:val="22"/>
          <w:szCs w:val="22"/>
          <w:vertAlign w:val="superscript"/>
          <w:rtl/>
        </w:rPr>
        <w:t>1</w:t>
      </w:r>
      <w:r w:rsidRPr="001074DF">
        <w:rPr>
          <w:rFonts w:cs="David"/>
          <w:sz w:val="22"/>
          <w:szCs w:val="22"/>
          <w:rtl/>
        </w:rPr>
        <w:t xml:space="preserve"> </w:t>
      </w:r>
      <w:r w:rsidRPr="001074DF">
        <w:rPr>
          <w:rFonts w:cs="David"/>
          <w:sz w:val="22"/>
          <w:szCs w:val="22"/>
          <w:rtl/>
        </w:rPr>
        <w:tab/>
        <w:t xml:space="preserve">"אנציקלופדיה תלמודית" כרך </w:t>
      </w:r>
      <w:proofErr w:type="spellStart"/>
      <w:r w:rsidRPr="001074DF">
        <w:rPr>
          <w:rFonts w:cs="David"/>
          <w:sz w:val="22"/>
          <w:szCs w:val="22"/>
          <w:rtl/>
        </w:rPr>
        <w:t>יח</w:t>
      </w:r>
      <w:proofErr w:type="spellEnd"/>
      <w:r w:rsidRPr="001074DF">
        <w:rPr>
          <w:rFonts w:cs="David"/>
          <w:sz w:val="22"/>
          <w:szCs w:val="22"/>
          <w:rtl/>
        </w:rPr>
        <w:t xml:space="preserve"> עמ' תרצד ועמ' </w:t>
      </w:r>
      <w:proofErr w:type="spellStart"/>
      <w:r w:rsidRPr="001074DF">
        <w:rPr>
          <w:rFonts w:cs="David"/>
          <w:sz w:val="22"/>
          <w:szCs w:val="22"/>
          <w:rtl/>
        </w:rPr>
        <w:t>קעד</w:t>
      </w:r>
      <w:proofErr w:type="spellEnd"/>
      <w:r w:rsidRPr="001074DF">
        <w:rPr>
          <w:rFonts w:cs="David"/>
          <w:sz w:val="22"/>
          <w:szCs w:val="22"/>
          <w:rtl/>
        </w:rPr>
        <w:t>.</w:t>
      </w:r>
    </w:p>
    <w:p w14:paraId="6B7213D8" w14:textId="77777777" w:rsidR="001074DF" w:rsidRPr="001074DF" w:rsidRDefault="001074DF" w:rsidP="001074DF">
      <w:pPr>
        <w:ind w:left="141" w:hanging="141"/>
        <w:contextualSpacing/>
        <w:rPr>
          <w:rFonts w:cs="David"/>
          <w:sz w:val="22"/>
          <w:szCs w:val="22"/>
          <w:rtl/>
        </w:rPr>
      </w:pPr>
      <w:r w:rsidRPr="001074DF">
        <w:rPr>
          <w:rFonts w:cs="David" w:hint="cs"/>
          <w:sz w:val="22"/>
          <w:szCs w:val="22"/>
          <w:vertAlign w:val="superscript"/>
          <w:rtl/>
        </w:rPr>
        <w:lastRenderedPageBreak/>
        <w:t>2</w:t>
      </w:r>
      <w:r w:rsidRPr="001074DF">
        <w:rPr>
          <w:rFonts w:cs="David"/>
          <w:sz w:val="22"/>
          <w:szCs w:val="22"/>
          <w:rtl/>
        </w:rPr>
        <w:t xml:space="preserve"> </w:t>
      </w:r>
      <w:r w:rsidRPr="001074DF">
        <w:rPr>
          <w:rFonts w:cs="David"/>
          <w:sz w:val="22"/>
          <w:szCs w:val="22"/>
          <w:rtl/>
        </w:rPr>
        <w:tab/>
        <w:t xml:space="preserve">שם עמ' </w:t>
      </w:r>
      <w:proofErr w:type="spellStart"/>
      <w:r w:rsidRPr="001074DF">
        <w:rPr>
          <w:rFonts w:cs="David"/>
          <w:sz w:val="22"/>
          <w:szCs w:val="22"/>
          <w:rtl/>
        </w:rPr>
        <w:t>תרנ</w:t>
      </w:r>
      <w:proofErr w:type="spellEnd"/>
      <w:r w:rsidRPr="001074DF">
        <w:rPr>
          <w:rFonts w:cs="David"/>
          <w:sz w:val="22"/>
          <w:szCs w:val="22"/>
          <w:rtl/>
        </w:rPr>
        <w:t xml:space="preserve"> סעיפים א ו- ב, ושם עמ' </w:t>
      </w:r>
      <w:proofErr w:type="spellStart"/>
      <w:r w:rsidRPr="001074DF">
        <w:rPr>
          <w:rFonts w:cs="David"/>
          <w:sz w:val="22"/>
          <w:szCs w:val="22"/>
          <w:rtl/>
        </w:rPr>
        <w:t>תשלד</w:t>
      </w:r>
      <w:proofErr w:type="spellEnd"/>
      <w:r w:rsidRPr="001074DF">
        <w:rPr>
          <w:rFonts w:cs="David"/>
          <w:sz w:val="22"/>
          <w:szCs w:val="22"/>
          <w:rtl/>
        </w:rPr>
        <w:t>.</w:t>
      </w:r>
    </w:p>
    <w:p w14:paraId="127042FA" w14:textId="77777777" w:rsidR="001074DF" w:rsidRPr="001074DF" w:rsidRDefault="001074DF" w:rsidP="001074DF">
      <w:pPr>
        <w:ind w:left="141" w:hanging="141"/>
        <w:contextualSpacing/>
        <w:rPr>
          <w:rFonts w:cs="David"/>
          <w:sz w:val="22"/>
          <w:szCs w:val="22"/>
          <w:rtl/>
        </w:rPr>
      </w:pPr>
      <w:r w:rsidRPr="001074DF">
        <w:rPr>
          <w:rFonts w:cs="David" w:hint="cs"/>
          <w:sz w:val="22"/>
          <w:szCs w:val="22"/>
          <w:vertAlign w:val="superscript"/>
          <w:rtl/>
        </w:rPr>
        <w:t>3</w:t>
      </w:r>
      <w:r w:rsidRPr="001074DF">
        <w:rPr>
          <w:rFonts w:cs="David"/>
          <w:sz w:val="22"/>
          <w:szCs w:val="22"/>
          <w:rtl/>
        </w:rPr>
        <w:t xml:space="preserve"> </w:t>
      </w:r>
      <w:r w:rsidRPr="001074DF">
        <w:rPr>
          <w:rFonts w:cs="David"/>
          <w:sz w:val="22"/>
          <w:szCs w:val="22"/>
          <w:rtl/>
        </w:rPr>
        <w:tab/>
        <w:t xml:space="preserve">שו"ע אורח חיים סי' </w:t>
      </w:r>
      <w:proofErr w:type="spellStart"/>
      <w:r w:rsidRPr="001074DF">
        <w:rPr>
          <w:rFonts w:cs="David"/>
          <w:sz w:val="22"/>
          <w:szCs w:val="22"/>
          <w:rtl/>
        </w:rPr>
        <w:t>שז</w:t>
      </w:r>
      <w:proofErr w:type="spellEnd"/>
      <w:r w:rsidRPr="001074DF">
        <w:rPr>
          <w:rFonts w:cs="David"/>
          <w:sz w:val="22"/>
          <w:szCs w:val="22"/>
          <w:rtl/>
        </w:rPr>
        <w:t xml:space="preserve">, ה וסי' תקפו, </w:t>
      </w:r>
      <w:proofErr w:type="spellStart"/>
      <w:r w:rsidRPr="001074DF">
        <w:rPr>
          <w:rFonts w:cs="David"/>
          <w:sz w:val="22"/>
          <w:szCs w:val="22"/>
          <w:rtl/>
        </w:rPr>
        <w:t>כא</w:t>
      </w:r>
      <w:proofErr w:type="spellEnd"/>
      <w:r w:rsidRPr="001074DF">
        <w:rPr>
          <w:rFonts w:cs="David"/>
          <w:sz w:val="22"/>
          <w:szCs w:val="22"/>
          <w:rtl/>
        </w:rPr>
        <w:t>.</w:t>
      </w:r>
    </w:p>
    <w:p w14:paraId="77C62DE2" w14:textId="77777777" w:rsidR="001074DF" w:rsidRPr="001074DF" w:rsidRDefault="001074DF" w:rsidP="001074DF">
      <w:pPr>
        <w:ind w:left="141" w:hanging="141"/>
        <w:contextualSpacing/>
        <w:rPr>
          <w:rFonts w:cs="David"/>
          <w:sz w:val="22"/>
          <w:szCs w:val="22"/>
          <w:rtl/>
        </w:rPr>
      </w:pPr>
      <w:r w:rsidRPr="001074DF">
        <w:rPr>
          <w:rFonts w:cs="David" w:hint="cs"/>
          <w:sz w:val="22"/>
          <w:szCs w:val="22"/>
          <w:vertAlign w:val="superscript"/>
          <w:rtl/>
        </w:rPr>
        <w:t>4</w:t>
      </w:r>
      <w:r w:rsidRPr="001074DF">
        <w:rPr>
          <w:rFonts w:cs="David"/>
          <w:sz w:val="22"/>
          <w:szCs w:val="22"/>
          <w:rtl/>
        </w:rPr>
        <w:t xml:space="preserve"> </w:t>
      </w:r>
      <w:r w:rsidRPr="001074DF">
        <w:rPr>
          <w:rFonts w:cs="David"/>
          <w:sz w:val="22"/>
          <w:szCs w:val="22"/>
          <w:rtl/>
        </w:rPr>
        <w:tab/>
        <w:t xml:space="preserve">אמנם דעת </w:t>
      </w:r>
      <w:proofErr w:type="spellStart"/>
      <w:r w:rsidRPr="001074DF">
        <w:rPr>
          <w:rFonts w:cs="David"/>
          <w:sz w:val="22"/>
          <w:szCs w:val="22"/>
          <w:rtl/>
        </w:rPr>
        <w:t>הגר"ע</w:t>
      </w:r>
      <w:proofErr w:type="spellEnd"/>
      <w:r w:rsidRPr="001074DF">
        <w:rPr>
          <w:rFonts w:cs="David"/>
          <w:sz w:val="22"/>
          <w:szCs w:val="22"/>
          <w:rtl/>
        </w:rPr>
        <w:t xml:space="preserve"> יוסף בספרו </w:t>
      </w:r>
      <w:proofErr w:type="spellStart"/>
      <w:r w:rsidRPr="001074DF">
        <w:rPr>
          <w:rFonts w:cs="David"/>
          <w:sz w:val="22"/>
          <w:szCs w:val="22"/>
          <w:rtl/>
        </w:rPr>
        <w:t>לויית</w:t>
      </w:r>
      <w:proofErr w:type="spellEnd"/>
      <w:r w:rsidRPr="001074DF">
        <w:rPr>
          <w:rFonts w:cs="David"/>
          <w:sz w:val="22"/>
          <w:szCs w:val="22"/>
          <w:rtl/>
        </w:rPr>
        <w:t xml:space="preserve"> חן סי' </w:t>
      </w:r>
      <w:proofErr w:type="spellStart"/>
      <w:r w:rsidRPr="001074DF">
        <w:rPr>
          <w:rFonts w:cs="David"/>
          <w:sz w:val="22"/>
          <w:szCs w:val="22"/>
          <w:rtl/>
        </w:rPr>
        <w:t>שז</w:t>
      </w:r>
      <w:proofErr w:type="spellEnd"/>
      <w:r w:rsidRPr="001074DF">
        <w:rPr>
          <w:rFonts w:cs="David"/>
          <w:sz w:val="22"/>
          <w:szCs w:val="22"/>
          <w:rtl/>
        </w:rPr>
        <w:t xml:space="preserve"> לה, שהותר שבות </w:t>
      </w:r>
      <w:proofErr w:type="spellStart"/>
      <w:r w:rsidRPr="001074DF">
        <w:rPr>
          <w:rFonts w:cs="David"/>
          <w:sz w:val="22"/>
          <w:szCs w:val="22"/>
          <w:rtl/>
        </w:rPr>
        <w:t>דשבות</w:t>
      </w:r>
      <w:proofErr w:type="spellEnd"/>
      <w:r w:rsidRPr="001074DF">
        <w:rPr>
          <w:rFonts w:cs="David"/>
          <w:sz w:val="22"/>
          <w:szCs w:val="22"/>
          <w:rtl/>
        </w:rPr>
        <w:t xml:space="preserve"> שלא ע"י אמירה לגוי ע"י תרי דרבנן שזהו ג"כ שבות </w:t>
      </w:r>
      <w:proofErr w:type="spellStart"/>
      <w:r w:rsidRPr="001074DF">
        <w:rPr>
          <w:rFonts w:cs="David"/>
          <w:sz w:val="22"/>
          <w:szCs w:val="22"/>
          <w:rtl/>
        </w:rPr>
        <w:t>דשבות</w:t>
      </w:r>
      <w:proofErr w:type="spellEnd"/>
      <w:r w:rsidRPr="001074DF">
        <w:rPr>
          <w:rFonts w:cs="David"/>
          <w:sz w:val="22"/>
          <w:szCs w:val="22"/>
          <w:rtl/>
        </w:rPr>
        <w:t xml:space="preserve">. אך רבים נחלקו עליו ועיין </w:t>
      </w:r>
      <w:proofErr w:type="spellStart"/>
      <w:r w:rsidRPr="001074DF">
        <w:rPr>
          <w:rFonts w:cs="David"/>
          <w:sz w:val="22"/>
          <w:szCs w:val="22"/>
          <w:rtl/>
        </w:rPr>
        <w:t>מהר"ם</w:t>
      </w:r>
      <w:proofErr w:type="spellEnd"/>
      <w:r w:rsidRPr="001074DF">
        <w:rPr>
          <w:rFonts w:cs="David"/>
          <w:sz w:val="22"/>
          <w:szCs w:val="22"/>
          <w:rtl/>
        </w:rPr>
        <w:t xml:space="preserve"> </w:t>
      </w:r>
      <w:proofErr w:type="spellStart"/>
      <w:r w:rsidRPr="001074DF">
        <w:rPr>
          <w:rFonts w:cs="David"/>
          <w:sz w:val="22"/>
          <w:szCs w:val="22"/>
          <w:rtl/>
        </w:rPr>
        <w:t>שי"ק</w:t>
      </w:r>
      <w:proofErr w:type="spellEnd"/>
      <w:r w:rsidRPr="001074DF">
        <w:rPr>
          <w:rFonts w:cs="David"/>
          <w:sz w:val="22"/>
          <w:szCs w:val="22"/>
          <w:rtl/>
        </w:rPr>
        <w:t xml:space="preserve"> (או"ח ריש סי' קנא) ושו"ת בית יצחק (או"ח סי' </w:t>
      </w:r>
      <w:proofErr w:type="spellStart"/>
      <w:r w:rsidRPr="001074DF">
        <w:rPr>
          <w:rFonts w:cs="David"/>
          <w:sz w:val="22"/>
          <w:szCs w:val="22"/>
          <w:rtl/>
        </w:rPr>
        <w:t>מב</w:t>
      </w:r>
      <w:proofErr w:type="spellEnd"/>
      <w:r w:rsidRPr="001074DF">
        <w:rPr>
          <w:rFonts w:cs="David"/>
          <w:sz w:val="22"/>
          <w:szCs w:val="22"/>
          <w:rtl/>
        </w:rPr>
        <w:t xml:space="preserve"> אות ה) וכף החיים (סי' </w:t>
      </w:r>
      <w:proofErr w:type="spellStart"/>
      <w:r w:rsidRPr="001074DF">
        <w:rPr>
          <w:rFonts w:cs="David"/>
          <w:sz w:val="22"/>
          <w:szCs w:val="22"/>
          <w:rtl/>
        </w:rPr>
        <w:t>שז</w:t>
      </w:r>
      <w:proofErr w:type="spellEnd"/>
      <w:r w:rsidRPr="001074DF">
        <w:rPr>
          <w:rFonts w:cs="David"/>
          <w:sz w:val="22"/>
          <w:szCs w:val="22"/>
          <w:rtl/>
        </w:rPr>
        <w:t xml:space="preserve"> </w:t>
      </w:r>
      <w:proofErr w:type="spellStart"/>
      <w:r w:rsidRPr="001074DF">
        <w:rPr>
          <w:rFonts w:cs="David"/>
          <w:sz w:val="22"/>
          <w:szCs w:val="22"/>
          <w:rtl/>
        </w:rPr>
        <w:t>ס"ק</w:t>
      </w:r>
      <w:proofErr w:type="spellEnd"/>
      <w:r w:rsidRPr="001074DF">
        <w:rPr>
          <w:rFonts w:cs="David"/>
          <w:sz w:val="22"/>
          <w:szCs w:val="22"/>
          <w:rtl/>
        </w:rPr>
        <w:t xml:space="preserve"> נב).</w:t>
      </w:r>
    </w:p>
    <w:p w14:paraId="08DB38BB" w14:textId="77777777" w:rsidR="001074DF" w:rsidRPr="001074DF" w:rsidRDefault="001074DF" w:rsidP="001074DF">
      <w:pPr>
        <w:ind w:left="141" w:hanging="141"/>
        <w:contextualSpacing/>
        <w:rPr>
          <w:rFonts w:cs="David"/>
          <w:sz w:val="22"/>
          <w:szCs w:val="22"/>
          <w:rtl/>
        </w:rPr>
      </w:pPr>
      <w:r w:rsidRPr="001074DF">
        <w:rPr>
          <w:rFonts w:cs="David" w:hint="cs"/>
          <w:sz w:val="22"/>
          <w:szCs w:val="22"/>
          <w:vertAlign w:val="superscript"/>
          <w:rtl/>
        </w:rPr>
        <w:t>5</w:t>
      </w:r>
      <w:r w:rsidRPr="001074DF">
        <w:rPr>
          <w:rFonts w:cs="David"/>
          <w:sz w:val="22"/>
          <w:szCs w:val="22"/>
          <w:rtl/>
        </w:rPr>
        <w:t xml:space="preserve"> </w:t>
      </w:r>
      <w:r w:rsidRPr="001074DF">
        <w:rPr>
          <w:rFonts w:cs="David"/>
          <w:sz w:val="22"/>
          <w:szCs w:val="22"/>
          <w:rtl/>
        </w:rPr>
        <w:tab/>
        <w:t xml:space="preserve">רמ"א אורח חיים סי' רעו, ב כדעת בעל העיטור </w:t>
      </w:r>
      <w:proofErr w:type="spellStart"/>
      <w:r w:rsidRPr="001074DF">
        <w:rPr>
          <w:rFonts w:cs="David"/>
          <w:sz w:val="22"/>
          <w:szCs w:val="22"/>
          <w:rtl/>
        </w:rPr>
        <w:t>וב"משנה</w:t>
      </w:r>
      <w:proofErr w:type="spellEnd"/>
      <w:r w:rsidRPr="001074DF">
        <w:rPr>
          <w:rFonts w:cs="David"/>
          <w:sz w:val="22"/>
          <w:szCs w:val="22"/>
          <w:rtl/>
        </w:rPr>
        <w:t xml:space="preserve"> ברורה" שם </w:t>
      </w:r>
      <w:proofErr w:type="spellStart"/>
      <w:r w:rsidRPr="001074DF">
        <w:rPr>
          <w:rFonts w:cs="David"/>
          <w:sz w:val="22"/>
          <w:szCs w:val="22"/>
          <w:rtl/>
        </w:rPr>
        <w:t>ס"ק</w:t>
      </w:r>
      <w:proofErr w:type="spellEnd"/>
      <w:r w:rsidRPr="001074DF">
        <w:rPr>
          <w:rFonts w:cs="David"/>
          <w:sz w:val="22"/>
          <w:szCs w:val="22"/>
          <w:rtl/>
        </w:rPr>
        <w:t xml:space="preserve"> כד וכה. ועיין ב"משנה ברורה" סי' </w:t>
      </w:r>
      <w:proofErr w:type="spellStart"/>
      <w:r w:rsidRPr="001074DF">
        <w:rPr>
          <w:rFonts w:cs="David"/>
          <w:sz w:val="22"/>
          <w:szCs w:val="22"/>
          <w:rtl/>
        </w:rPr>
        <w:t>שז</w:t>
      </w:r>
      <w:proofErr w:type="spellEnd"/>
      <w:r w:rsidRPr="001074DF">
        <w:rPr>
          <w:rFonts w:cs="David"/>
          <w:sz w:val="22"/>
          <w:szCs w:val="22"/>
          <w:rtl/>
        </w:rPr>
        <w:t xml:space="preserve"> </w:t>
      </w:r>
      <w:proofErr w:type="spellStart"/>
      <w:r w:rsidRPr="001074DF">
        <w:rPr>
          <w:rFonts w:cs="David"/>
          <w:sz w:val="22"/>
          <w:szCs w:val="22"/>
          <w:rtl/>
        </w:rPr>
        <w:t>ס"ק</w:t>
      </w:r>
      <w:proofErr w:type="spellEnd"/>
      <w:r w:rsidRPr="001074DF">
        <w:rPr>
          <w:rFonts w:cs="David"/>
          <w:sz w:val="22"/>
          <w:szCs w:val="22"/>
          <w:rtl/>
        </w:rPr>
        <w:t xml:space="preserve"> </w:t>
      </w:r>
      <w:proofErr w:type="spellStart"/>
      <w:r w:rsidRPr="001074DF">
        <w:rPr>
          <w:rFonts w:cs="David"/>
          <w:sz w:val="22"/>
          <w:szCs w:val="22"/>
          <w:rtl/>
        </w:rPr>
        <w:t>יט</w:t>
      </w:r>
      <w:proofErr w:type="spellEnd"/>
      <w:r w:rsidRPr="001074DF">
        <w:rPr>
          <w:rFonts w:cs="David"/>
          <w:sz w:val="22"/>
          <w:szCs w:val="22"/>
          <w:rtl/>
        </w:rPr>
        <w:t xml:space="preserve"> </w:t>
      </w:r>
      <w:proofErr w:type="spellStart"/>
      <w:r w:rsidRPr="001074DF">
        <w:rPr>
          <w:rFonts w:cs="David"/>
          <w:sz w:val="22"/>
          <w:szCs w:val="22"/>
          <w:rtl/>
        </w:rPr>
        <w:t>ושו"ע</w:t>
      </w:r>
      <w:proofErr w:type="spellEnd"/>
      <w:r w:rsidRPr="001074DF">
        <w:rPr>
          <w:rFonts w:cs="David"/>
          <w:sz w:val="22"/>
          <w:szCs w:val="22"/>
          <w:rtl/>
        </w:rPr>
        <w:t xml:space="preserve"> אורח חיים סי' שלא, ו. אמנם עיין שו"ת "ציץ אליעזר" </w:t>
      </w:r>
      <w:proofErr w:type="spellStart"/>
      <w:r w:rsidRPr="001074DF">
        <w:rPr>
          <w:rFonts w:cs="David"/>
          <w:sz w:val="22"/>
          <w:szCs w:val="22"/>
          <w:rtl/>
        </w:rPr>
        <w:t>חי"ב</w:t>
      </w:r>
      <w:proofErr w:type="spellEnd"/>
      <w:r w:rsidRPr="001074DF">
        <w:rPr>
          <w:rFonts w:cs="David"/>
          <w:sz w:val="22"/>
          <w:szCs w:val="22"/>
          <w:rtl/>
        </w:rPr>
        <w:t xml:space="preserve"> סי' </w:t>
      </w:r>
      <w:proofErr w:type="spellStart"/>
      <w:r w:rsidRPr="001074DF">
        <w:rPr>
          <w:rFonts w:cs="David"/>
          <w:sz w:val="22"/>
          <w:szCs w:val="22"/>
          <w:rtl/>
        </w:rPr>
        <w:t>מב</w:t>
      </w:r>
      <w:proofErr w:type="spellEnd"/>
      <w:r w:rsidRPr="001074DF">
        <w:rPr>
          <w:rFonts w:cs="David"/>
          <w:sz w:val="22"/>
          <w:szCs w:val="22"/>
          <w:rtl/>
        </w:rPr>
        <w:t xml:space="preserve"> ובמובאות שם שסמכו על דברי רמ"א להקל, אך שם זה בצירוף סניפים נוספים להקל.</w:t>
      </w:r>
    </w:p>
    <w:p w14:paraId="5D1C1AB3" w14:textId="77777777" w:rsidR="001074DF" w:rsidRPr="001074DF" w:rsidRDefault="001074DF" w:rsidP="001074DF">
      <w:pPr>
        <w:ind w:left="141" w:hanging="141"/>
        <w:contextualSpacing/>
        <w:rPr>
          <w:rFonts w:cs="David"/>
          <w:sz w:val="22"/>
          <w:szCs w:val="22"/>
          <w:rtl/>
        </w:rPr>
      </w:pPr>
      <w:r w:rsidRPr="001074DF">
        <w:rPr>
          <w:rFonts w:cs="David" w:hint="cs"/>
          <w:sz w:val="22"/>
          <w:szCs w:val="22"/>
          <w:vertAlign w:val="superscript"/>
          <w:rtl/>
        </w:rPr>
        <w:t>6</w:t>
      </w:r>
      <w:r w:rsidRPr="001074DF">
        <w:rPr>
          <w:rFonts w:cs="David"/>
          <w:sz w:val="22"/>
          <w:szCs w:val="22"/>
          <w:rtl/>
        </w:rPr>
        <w:t xml:space="preserve"> </w:t>
      </w:r>
      <w:r w:rsidRPr="001074DF">
        <w:rPr>
          <w:rFonts w:cs="David"/>
          <w:sz w:val="22"/>
          <w:szCs w:val="22"/>
          <w:rtl/>
        </w:rPr>
        <w:tab/>
        <w:t>עיין "</w:t>
      </w:r>
      <w:proofErr w:type="spellStart"/>
      <w:r w:rsidRPr="001074DF">
        <w:rPr>
          <w:rFonts w:cs="David"/>
          <w:sz w:val="22"/>
          <w:szCs w:val="22"/>
          <w:rtl/>
        </w:rPr>
        <w:t>תחומין</w:t>
      </w:r>
      <w:proofErr w:type="spellEnd"/>
      <w:r w:rsidRPr="001074DF">
        <w:rPr>
          <w:rFonts w:cs="David"/>
          <w:sz w:val="22"/>
          <w:szCs w:val="22"/>
          <w:rtl/>
        </w:rPr>
        <w:t>" כרך ה, עמ' 95 סעיפים 2, 3.</w:t>
      </w:r>
    </w:p>
    <w:p w14:paraId="1A392AC8" w14:textId="77777777" w:rsidR="001074DF" w:rsidRPr="001074DF" w:rsidRDefault="001074DF" w:rsidP="001074DF">
      <w:pPr>
        <w:ind w:left="141" w:hanging="141"/>
        <w:contextualSpacing/>
        <w:rPr>
          <w:rFonts w:cs="David"/>
          <w:sz w:val="22"/>
          <w:szCs w:val="22"/>
          <w:rtl/>
        </w:rPr>
      </w:pPr>
      <w:r w:rsidRPr="001074DF">
        <w:rPr>
          <w:rFonts w:cs="David" w:hint="cs"/>
          <w:sz w:val="22"/>
          <w:szCs w:val="22"/>
          <w:vertAlign w:val="superscript"/>
          <w:rtl/>
        </w:rPr>
        <w:t>7</w:t>
      </w:r>
      <w:r w:rsidRPr="001074DF">
        <w:rPr>
          <w:rFonts w:cs="David"/>
          <w:sz w:val="22"/>
          <w:szCs w:val="22"/>
          <w:rtl/>
        </w:rPr>
        <w:t xml:space="preserve"> </w:t>
      </w:r>
      <w:r w:rsidRPr="001074DF">
        <w:rPr>
          <w:rFonts w:cs="David"/>
          <w:sz w:val="22"/>
          <w:szCs w:val="22"/>
          <w:rtl/>
        </w:rPr>
        <w:tab/>
        <w:t>בספרות האחרונים בנושא ישנו דיון רחב מאוד ונציין כאן את המקורות הבאים:</w:t>
      </w:r>
    </w:p>
    <w:p w14:paraId="1E2B07C3" w14:textId="77777777" w:rsidR="001074DF" w:rsidRPr="001074DF" w:rsidRDefault="001074DF" w:rsidP="001074DF">
      <w:pPr>
        <w:ind w:left="141"/>
        <w:contextualSpacing/>
        <w:rPr>
          <w:rFonts w:cs="David"/>
          <w:sz w:val="22"/>
          <w:szCs w:val="22"/>
          <w:rtl/>
        </w:rPr>
      </w:pPr>
      <w:r w:rsidRPr="001074DF">
        <w:rPr>
          <w:rFonts w:cs="David"/>
          <w:sz w:val="22"/>
          <w:szCs w:val="22"/>
          <w:rtl/>
        </w:rPr>
        <w:t>"</w:t>
      </w:r>
      <w:proofErr w:type="spellStart"/>
      <w:r w:rsidRPr="001074DF">
        <w:rPr>
          <w:rFonts w:cs="David"/>
          <w:sz w:val="22"/>
          <w:szCs w:val="22"/>
          <w:rtl/>
        </w:rPr>
        <w:t>תחומין</w:t>
      </w:r>
      <w:proofErr w:type="spellEnd"/>
      <w:r w:rsidRPr="001074DF">
        <w:rPr>
          <w:rFonts w:cs="David"/>
          <w:sz w:val="22"/>
          <w:szCs w:val="22"/>
          <w:rtl/>
        </w:rPr>
        <w:t>" כרך ה' עמ' 58, מאמרו של פרופסור זאב לב;</w:t>
      </w:r>
    </w:p>
    <w:p w14:paraId="73D573CB" w14:textId="77777777" w:rsidR="001074DF" w:rsidRPr="001074DF" w:rsidRDefault="001074DF" w:rsidP="001074DF">
      <w:pPr>
        <w:ind w:left="141"/>
        <w:contextualSpacing/>
        <w:rPr>
          <w:rFonts w:cs="David"/>
          <w:sz w:val="22"/>
          <w:szCs w:val="22"/>
          <w:rtl/>
        </w:rPr>
      </w:pPr>
      <w:r w:rsidRPr="001074DF">
        <w:rPr>
          <w:rFonts w:cs="David"/>
          <w:sz w:val="22"/>
          <w:szCs w:val="22"/>
          <w:rtl/>
        </w:rPr>
        <w:t>שם, עמ' 75, מאמרו של הרב ישראל רוזן;</w:t>
      </w:r>
    </w:p>
    <w:p w14:paraId="5EC8162D" w14:textId="77777777" w:rsidR="001074DF" w:rsidRPr="001074DF" w:rsidRDefault="001074DF" w:rsidP="001074DF">
      <w:pPr>
        <w:ind w:left="141"/>
        <w:contextualSpacing/>
        <w:rPr>
          <w:rFonts w:cs="David"/>
          <w:sz w:val="22"/>
          <w:szCs w:val="22"/>
          <w:rtl/>
        </w:rPr>
      </w:pPr>
      <w:r w:rsidRPr="001074DF">
        <w:rPr>
          <w:rFonts w:cs="David"/>
          <w:sz w:val="22"/>
          <w:szCs w:val="22"/>
          <w:rtl/>
        </w:rPr>
        <w:t xml:space="preserve">"אנציקלופדיה תלמודית" כרך </w:t>
      </w:r>
      <w:proofErr w:type="spellStart"/>
      <w:r w:rsidRPr="001074DF">
        <w:rPr>
          <w:rFonts w:cs="David"/>
          <w:sz w:val="22"/>
          <w:szCs w:val="22"/>
          <w:rtl/>
        </w:rPr>
        <w:t>יח</w:t>
      </w:r>
      <w:proofErr w:type="spellEnd"/>
      <w:r w:rsidRPr="001074DF">
        <w:rPr>
          <w:rFonts w:cs="David"/>
          <w:sz w:val="22"/>
          <w:szCs w:val="22"/>
          <w:rtl/>
        </w:rPr>
        <w:t xml:space="preserve"> עמ' </w:t>
      </w:r>
      <w:proofErr w:type="spellStart"/>
      <w:r w:rsidRPr="001074DF">
        <w:rPr>
          <w:rFonts w:cs="David"/>
          <w:sz w:val="22"/>
          <w:szCs w:val="22"/>
          <w:rtl/>
        </w:rPr>
        <w:t>תרצא</w:t>
      </w:r>
      <w:proofErr w:type="spellEnd"/>
      <w:r w:rsidRPr="001074DF">
        <w:rPr>
          <w:rFonts w:cs="David"/>
          <w:sz w:val="22"/>
          <w:szCs w:val="22"/>
          <w:rtl/>
        </w:rPr>
        <w:t xml:space="preserve"> סעיף ה.</w:t>
      </w:r>
    </w:p>
    <w:p w14:paraId="3D0797B0" w14:textId="77777777" w:rsidR="001074DF" w:rsidRPr="001074DF" w:rsidRDefault="001074DF" w:rsidP="001074DF">
      <w:pPr>
        <w:ind w:left="141"/>
        <w:contextualSpacing/>
        <w:rPr>
          <w:rFonts w:cs="David"/>
          <w:sz w:val="22"/>
          <w:szCs w:val="22"/>
          <w:rtl/>
        </w:rPr>
      </w:pPr>
      <w:r w:rsidRPr="001074DF">
        <w:rPr>
          <w:rFonts w:cs="David"/>
          <w:sz w:val="22"/>
          <w:szCs w:val="22"/>
          <w:rtl/>
        </w:rPr>
        <w:t>עיין שם ותמצא מקורות רבים שעסקו בשאלה זו.</w:t>
      </w:r>
    </w:p>
    <w:p w14:paraId="6752FE85" w14:textId="77777777" w:rsidR="001074DF" w:rsidRPr="001074DF" w:rsidRDefault="001074DF" w:rsidP="001074DF">
      <w:pPr>
        <w:ind w:left="141" w:hanging="141"/>
        <w:contextualSpacing/>
        <w:rPr>
          <w:rFonts w:cs="David"/>
          <w:sz w:val="22"/>
          <w:szCs w:val="22"/>
          <w:rtl/>
        </w:rPr>
      </w:pPr>
      <w:r w:rsidRPr="001074DF">
        <w:rPr>
          <w:rFonts w:cs="David" w:hint="cs"/>
          <w:sz w:val="22"/>
          <w:szCs w:val="22"/>
          <w:vertAlign w:val="superscript"/>
          <w:rtl/>
        </w:rPr>
        <w:t>8</w:t>
      </w:r>
      <w:r w:rsidRPr="001074DF">
        <w:rPr>
          <w:rFonts w:cs="David"/>
          <w:sz w:val="22"/>
          <w:szCs w:val="22"/>
          <w:rtl/>
        </w:rPr>
        <w:t xml:space="preserve"> </w:t>
      </w:r>
      <w:r w:rsidRPr="001074DF">
        <w:rPr>
          <w:rFonts w:cs="David"/>
          <w:sz w:val="22"/>
          <w:szCs w:val="22"/>
          <w:rtl/>
        </w:rPr>
        <w:tab/>
        <w:t xml:space="preserve">עיין מאמרו של מרן </w:t>
      </w:r>
      <w:proofErr w:type="spellStart"/>
      <w:r w:rsidRPr="001074DF">
        <w:rPr>
          <w:rFonts w:cs="David"/>
          <w:sz w:val="22"/>
          <w:szCs w:val="22"/>
          <w:rtl/>
        </w:rPr>
        <w:t>הגר"ש</w:t>
      </w:r>
      <w:proofErr w:type="spellEnd"/>
      <w:r w:rsidRPr="001074DF">
        <w:rPr>
          <w:rFonts w:cs="David"/>
          <w:sz w:val="22"/>
          <w:szCs w:val="22"/>
          <w:rtl/>
        </w:rPr>
        <w:t xml:space="preserve"> ישראלי, בתוך: "ברקאי" כרך ה, בעניין שימוש ברמקול בשבת; וכמו כן "תשובת העורך", "ברקאי" כרך ו עמ' 287, ובמובאות שם, וכמו כן </w:t>
      </w:r>
      <w:proofErr w:type="spellStart"/>
      <w:r w:rsidRPr="001074DF">
        <w:rPr>
          <w:rFonts w:cs="David"/>
          <w:sz w:val="22"/>
          <w:szCs w:val="22"/>
          <w:rtl/>
        </w:rPr>
        <w:t>ב"תחומין</w:t>
      </w:r>
      <w:proofErr w:type="spellEnd"/>
      <w:r w:rsidRPr="001074DF">
        <w:rPr>
          <w:rFonts w:cs="David"/>
          <w:sz w:val="22"/>
          <w:szCs w:val="22"/>
          <w:rtl/>
        </w:rPr>
        <w:t>" כרך ב עמ' 44 מאמרו של פרופסור זאב לב בעניין זרם חשמל והחלשתו בשבת.</w:t>
      </w:r>
    </w:p>
    <w:p w14:paraId="75FB2E5F" w14:textId="77777777" w:rsidR="001074DF" w:rsidRPr="001074DF" w:rsidRDefault="001074DF" w:rsidP="001074DF">
      <w:pPr>
        <w:ind w:left="-1"/>
        <w:contextualSpacing/>
        <w:rPr>
          <w:rFonts w:ascii="David" w:hAnsi="David" w:cs="David"/>
        </w:rPr>
      </w:pPr>
    </w:p>
    <w:p w14:paraId="5B418239" w14:textId="77777777" w:rsidR="00240334" w:rsidRPr="001074DF" w:rsidRDefault="00240334" w:rsidP="00240334">
      <w:pPr>
        <w:contextualSpacing/>
        <w:rPr>
          <w:rFonts w:cs="David"/>
        </w:rPr>
      </w:pPr>
    </w:p>
    <w:p w14:paraId="47B4423D" w14:textId="6D396A00" w:rsidR="00900422" w:rsidRPr="00900422" w:rsidRDefault="00900422" w:rsidP="00900422">
      <w:pPr>
        <w:ind w:left="2695"/>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jc w:val="center"/>
        <w:rPr>
          <w:rFonts w:cs="David"/>
          <w:sz w:val="12"/>
          <w:szCs w:val="12"/>
          <w:rtl/>
          <w:lang w:eastAsia="he-IL"/>
        </w:rPr>
      </w:pPr>
    </w:p>
    <w:p w14:paraId="556A44E3" w14:textId="77777777" w:rsidR="00900422" w:rsidRPr="00900422" w:rsidRDefault="00900422" w:rsidP="00900422">
      <w:pPr>
        <w:keepNext/>
        <w:ind w:left="2695"/>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D0FB037" w:rsidR="00900422" w:rsidRDefault="00900422" w:rsidP="00900422">
      <w:pPr>
        <w:ind w:left="2695"/>
        <w:jc w:val="center"/>
        <w:rPr>
          <w:rFonts w:cs="David"/>
          <w:rtl/>
          <w:lang w:eastAsia="he-IL"/>
        </w:rPr>
      </w:pPr>
      <w:r w:rsidRPr="00900422">
        <w:rPr>
          <w:rFonts w:cs="David"/>
          <w:rtl/>
          <w:lang w:eastAsia="he-IL"/>
        </w:rPr>
        <w:t>רא</w:t>
      </w:r>
      <w:r w:rsidRPr="00900422">
        <w:rPr>
          <w:rFonts w:cs="David" w:hint="cs"/>
          <w:rtl/>
          <w:lang w:eastAsia="he-IL"/>
        </w:rPr>
        <w:t>שי הכולל</w:t>
      </w:r>
    </w:p>
    <w:p w14:paraId="6B064A06" w14:textId="77777777" w:rsidR="009E2D69" w:rsidRDefault="009E2D69" w:rsidP="00900422">
      <w:pPr>
        <w:ind w:left="2695"/>
        <w:jc w:val="center"/>
        <w:rPr>
          <w:rFonts w:cs="David"/>
          <w:lang w:eastAsia="he-IL"/>
        </w:rPr>
      </w:pPr>
    </w:p>
    <w:p w14:paraId="713C886E" w14:textId="77777777" w:rsidR="009E2D69" w:rsidRPr="00F02573" w:rsidRDefault="009E2D69" w:rsidP="009E2D69">
      <w:pPr>
        <w:ind w:left="2695"/>
        <w:jc w:val="center"/>
        <w:rPr>
          <w:rFonts w:cs="David"/>
          <w:rtl/>
        </w:rPr>
      </w:pPr>
      <w:r w:rsidRPr="00F02573">
        <w:rPr>
          <w:rFonts w:cs="David" w:hint="cs"/>
          <w:rtl/>
        </w:rPr>
        <w:t>גם</w:t>
      </w:r>
      <w:r w:rsidRPr="00F02573">
        <w:rPr>
          <w:rFonts w:cs="David"/>
          <w:rtl/>
        </w:rPr>
        <w:t xml:space="preserve"> </w:t>
      </w:r>
      <w:r w:rsidRPr="00F02573">
        <w:rPr>
          <w:rFonts w:cs="David" w:hint="cs"/>
          <w:rtl/>
        </w:rPr>
        <w:t>אני מאשר:</w:t>
      </w:r>
    </w:p>
    <w:p w14:paraId="3A4AE2E4" w14:textId="77777777" w:rsidR="009E2D69" w:rsidRPr="00F02573" w:rsidRDefault="009E2D69" w:rsidP="009E2D69">
      <w:pPr>
        <w:ind w:left="2695"/>
        <w:jc w:val="center"/>
        <w:rPr>
          <w:rFonts w:cs="David"/>
          <w:rtl/>
        </w:rPr>
      </w:pPr>
      <w:r w:rsidRPr="00F02573">
        <w:rPr>
          <w:rFonts w:cs="David"/>
          <w:rtl/>
        </w:rPr>
        <w:t>הרב</w:t>
      </w:r>
      <w:r w:rsidRPr="00F02573">
        <w:rPr>
          <w:rFonts w:cs="David" w:hint="cs"/>
          <w:rtl/>
        </w:rPr>
        <w:t xml:space="preserve"> שאול ישראלי</w:t>
      </w:r>
    </w:p>
    <w:p w14:paraId="11C34CFC" w14:textId="1CA345DE" w:rsidR="00C859D7" w:rsidRDefault="00C859D7" w:rsidP="00F35BD1">
      <w:pPr>
        <w:jc w:val="both"/>
        <w:rPr>
          <w:rFonts w:cs="David"/>
          <w:sz w:val="23"/>
          <w:szCs w:val="23"/>
          <w:rtl/>
          <w:lang w:eastAsia="he-IL"/>
        </w:rPr>
      </w:pPr>
    </w:p>
    <w:p w14:paraId="3EBC10B1" w14:textId="4FD9353C" w:rsidR="000865B7" w:rsidRDefault="000865B7" w:rsidP="00F35BD1">
      <w:pPr>
        <w:jc w:val="both"/>
        <w:rPr>
          <w:rFonts w:cs="David"/>
          <w:sz w:val="23"/>
          <w:szCs w:val="23"/>
          <w:rtl/>
          <w:lang w:eastAsia="he-IL"/>
        </w:rPr>
      </w:pPr>
    </w:p>
    <w:p w14:paraId="5ADC1DF4" w14:textId="77777777" w:rsidR="000865B7" w:rsidRDefault="000865B7" w:rsidP="00F35BD1">
      <w:pPr>
        <w:jc w:val="both"/>
        <w:rPr>
          <w:rFonts w:cs="David"/>
          <w:sz w:val="23"/>
          <w:szCs w:val="23"/>
          <w:rtl/>
          <w:lang w:eastAsia="he-IL"/>
        </w:rPr>
      </w:pPr>
    </w:p>
    <w:p w14:paraId="478BF5F0" w14:textId="77777777" w:rsidR="006B1D3B" w:rsidRPr="006B1D3B" w:rsidRDefault="006B1D3B" w:rsidP="00F35BD1">
      <w:pPr>
        <w:jc w:val="both"/>
        <w:rPr>
          <w:rFonts w:cs="David"/>
          <w:sz w:val="10"/>
          <w:szCs w:val="10"/>
          <w:rtl/>
          <w:lang w:eastAsia="he-IL"/>
        </w:rPr>
      </w:pPr>
    </w:p>
    <w:p w14:paraId="4E418A24" w14:textId="7FD866FD" w:rsidR="007B5151" w:rsidRDefault="000865B7" w:rsidP="001953F7">
      <w:pPr>
        <w:contextualSpacing/>
        <w:jc w:val="center"/>
        <w:rPr>
          <w:rStyle w:val="Hyperlink"/>
          <w:rFonts w:cs="David"/>
          <w:b/>
          <w:bCs/>
          <w:color w:val="002060"/>
          <w:u w:val="none"/>
          <w:rtl/>
          <w:lang w:eastAsia="he-IL"/>
        </w:rPr>
      </w:pPr>
      <w:hyperlink r:id="rId19"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p>
    <w:p w14:paraId="2BF3FAA9" w14:textId="49E3FDE2" w:rsidR="005F29A1" w:rsidRDefault="005F29A1" w:rsidP="001953F7">
      <w:pPr>
        <w:contextualSpacing/>
        <w:jc w:val="center"/>
        <w:rPr>
          <w:rStyle w:val="Hyperlink"/>
          <w:rFonts w:cs="David"/>
          <w:b/>
          <w:bCs/>
          <w:color w:val="002060"/>
          <w:u w:val="none"/>
          <w:rtl/>
          <w:lang w:eastAsia="he-IL"/>
        </w:rPr>
      </w:pPr>
    </w:p>
    <w:p w14:paraId="49760DB4" w14:textId="77777777" w:rsidR="000865B7" w:rsidRDefault="000865B7" w:rsidP="000865B7">
      <w:pPr>
        <w:contextualSpacing/>
        <w:jc w:val="center"/>
        <w:rPr>
          <w:rFonts w:cs="David"/>
          <w:b/>
          <w:bCs/>
          <w:color w:val="0070C0"/>
          <w:u w:val="single"/>
          <w:rtl/>
          <w:lang w:eastAsia="he-IL"/>
        </w:rPr>
      </w:pPr>
      <w:r>
        <w:rPr>
          <w:rFonts w:cs="David" w:hint="cs"/>
          <w:b/>
          <w:bCs/>
          <w:color w:val="0070C0"/>
          <w:rtl/>
          <w:lang w:eastAsia="he-IL"/>
        </w:rPr>
        <w:t>נ</w:t>
      </w:r>
      <w:r w:rsidRPr="00A355EC">
        <w:rPr>
          <w:rFonts w:cs="David" w:hint="cs"/>
          <w:b/>
          <w:bCs/>
          <w:color w:val="0070C0"/>
          <w:rtl/>
          <w:lang w:eastAsia="he-IL"/>
        </w:rPr>
        <w:t xml:space="preserve">יתן ליצור קשר עם הכותבים דרך:  </w:t>
      </w:r>
      <w:hyperlink r:id="rId20" w:history="1">
        <w:r w:rsidRPr="00A355EC">
          <w:rPr>
            <w:rFonts w:cs="David"/>
            <w:b/>
            <w:bCs/>
            <w:color w:val="0070C0"/>
            <w:u w:val="single"/>
            <w:lang w:eastAsia="he-IL"/>
          </w:rPr>
          <w:t>info@eretzhemdah.org</w:t>
        </w:r>
      </w:hyperlink>
    </w:p>
    <w:p w14:paraId="2AF92B53" w14:textId="77777777" w:rsidR="005F29A1" w:rsidRDefault="005F29A1" w:rsidP="005F29A1">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1000"/>
        <w:gridCol w:w="563"/>
        <w:gridCol w:w="289"/>
        <w:gridCol w:w="132"/>
        <w:gridCol w:w="578"/>
        <w:gridCol w:w="267"/>
        <w:gridCol w:w="1563"/>
        <w:gridCol w:w="290"/>
      </w:tblGrid>
      <w:tr w:rsidR="005F29A1" w:rsidRPr="005648DA" w14:paraId="54BB2AE7" w14:textId="77777777" w:rsidTr="00BE3D2E">
        <w:tc>
          <w:tcPr>
            <w:tcW w:w="7224" w:type="dxa"/>
            <w:gridSpan w:val="13"/>
            <w:tcBorders>
              <w:top w:val="single" w:sz="4" w:space="0" w:color="auto"/>
              <w:left w:val="single" w:sz="4" w:space="0" w:color="auto"/>
              <w:bottom w:val="nil"/>
              <w:right w:val="nil"/>
            </w:tcBorders>
            <w:vAlign w:val="center"/>
          </w:tcPr>
          <w:p w14:paraId="33FFDDFA" w14:textId="77777777" w:rsidR="005F29A1" w:rsidRPr="005648DA" w:rsidRDefault="005F29A1" w:rsidP="0006034B">
            <w:pPr>
              <w:spacing w:line="276" w:lineRule="auto"/>
              <w:contextualSpacing/>
              <w:jc w:val="center"/>
              <w:rPr>
                <w:rFonts w:cs="David"/>
                <w:b/>
                <w:bCs/>
                <w:sz w:val="6"/>
                <w:szCs w:val="6"/>
                <w:u w:val="single"/>
                <w:rtl/>
              </w:rPr>
            </w:pPr>
          </w:p>
          <w:p w14:paraId="79F39CF4" w14:textId="77777777" w:rsidR="005F29A1" w:rsidRPr="005648DA" w:rsidRDefault="005F29A1" w:rsidP="0006034B">
            <w:pPr>
              <w:spacing w:line="276"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2" w:type="dxa"/>
            <w:gridSpan w:val="7"/>
            <w:tcBorders>
              <w:top w:val="single" w:sz="4" w:space="0" w:color="auto"/>
              <w:left w:val="nil"/>
              <w:bottom w:val="nil"/>
              <w:right w:val="single" w:sz="4" w:space="0" w:color="auto"/>
            </w:tcBorders>
            <w:vAlign w:val="center"/>
          </w:tcPr>
          <w:p w14:paraId="11D93461" w14:textId="77777777" w:rsidR="005F29A1" w:rsidRPr="002D3018" w:rsidRDefault="005F29A1" w:rsidP="0006034B">
            <w:pPr>
              <w:spacing w:line="276"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5F29A1" w:rsidRPr="005648DA" w14:paraId="32C9DEFF" w14:textId="77777777" w:rsidTr="00BE3D2E">
        <w:tc>
          <w:tcPr>
            <w:tcW w:w="1967" w:type="dxa"/>
            <w:gridSpan w:val="2"/>
            <w:tcBorders>
              <w:top w:val="nil"/>
              <w:left w:val="single" w:sz="4" w:space="0" w:color="auto"/>
              <w:bottom w:val="nil"/>
              <w:right w:val="nil"/>
            </w:tcBorders>
            <w:vAlign w:val="center"/>
          </w:tcPr>
          <w:p w14:paraId="2B69CC91" w14:textId="77777777" w:rsidR="005F29A1" w:rsidRPr="005648DA" w:rsidRDefault="005F29A1" w:rsidP="0006034B">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14D998B1"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7AC372BF"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37160F49"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90" w:type="dxa"/>
            <w:tcBorders>
              <w:top w:val="nil"/>
              <w:left w:val="nil"/>
              <w:bottom w:val="nil"/>
              <w:right w:val="single" w:sz="4" w:space="0" w:color="auto"/>
            </w:tcBorders>
            <w:vAlign w:val="center"/>
          </w:tcPr>
          <w:p w14:paraId="64552DC6" w14:textId="77777777" w:rsidR="005F29A1" w:rsidRPr="005648DA" w:rsidRDefault="005F29A1" w:rsidP="0006034B">
            <w:pPr>
              <w:spacing w:line="276" w:lineRule="auto"/>
              <w:contextualSpacing/>
              <w:jc w:val="center"/>
              <w:rPr>
                <w:rFonts w:cs="David"/>
                <w:b/>
                <w:bCs/>
                <w:color w:val="0070C0"/>
                <w:sz w:val="19"/>
                <w:szCs w:val="19"/>
              </w:rPr>
            </w:pPr>
          </w:p>
        </w:tc>
      </w:tr>
      <w:tr w:rsidR="005F29A1" w:rsidRPr="005648DA" w14:paraId="7D7A191D" w14:textId="77777777" w:rsidTr="00BE3D2E">
        <w:tc>
          <w:tcPr>
            <w:tcW w:w="281" w:type="dxa"/>
            <w:tcBorders>
              <w:top w:val="nil"/>
              <w:left w:val="single" w:sz="4" w:space="0" w:color="auto"/>
              <w:bottom w:val="nil"/>
              <w:right w:val="nil"/>
            </w:tcBorders>
            <w:vAlign w:val="center"/>
          </w:tcPr>
          <w:p w14:paraId="057C9CDB" w14:textId="77777777" w:rsidR="005F29A1" w:rsidRPr="005648DA" w:rsidRDefault="005F29A1" w:rsidP="0006034B">
            <w:pPr>
              <w:spacing w:line="276"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189A2439"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6C6C6E0E" w14:textId="77777777" w:rsidR="005F29A1" w:rsidRPr="005648DA" w:rsidRDefault="005F29A1" w:rsidP="0006034B">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16C6F6A4" w14:textId="77777777" w:rsidR="005F29A1" w:rsidRPr="005648DA" w:rsidRDefault="005F29A1" w:rsidP="0006034B">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6"/>
            <w:tcBorders>
              <w:top w:val="nil"/>
              <w:left w:val="nil"/>
              <w:bottom w:val="nil"/>
              <w:right w:val="nil"/>
            </w:tcBorders>
            <w:vAlign w:val="center"/>
          </w:tcPr>
          <w:p w14:paraId="69F0A640"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5026D9B0"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5F29A1" w:rsidRPr="005648DA" w14:paraId="76BC6E02" w14:textId="77777777" w:rsidTr="00BE3D2E">
        <w:tc>
          <w:tcPr>
            <w:tcW w:w="1978" w:type="dxa"/>
            <w:gridSpan w:val="3"/>
            <w:tcBorders>
              <w:top w:val="nil"/>
              <w:left w:val="single" w:sz="4" w:space="0" w:color="auto"/>
              <w:bottom w:val="nil"/>
              <w:right w:val="nil"/>
            </w:tcBorders>
            <w:vAlign w:val="center"/>
          </w:tcPr>
          <w:p w14:paraId="5022681E"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53012708"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6E433977" w14:textId="77777777" w:rsidR="005F29A1" w:rsidRPr="005648DA" w:rsidRDefault="005F29A1" w:rsidP="0006034B">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24008916" w14:textId="77777777" w:rsidR="005F29A1" w:rsidRPr="005648DA" w:rsidRDefault="005F29A1" w:rsidP="0006034B">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4397D866" w14:textId="77777777" w:rsidR="005F29A1" w:rsidRPr="005648DA" w:rsidRDefault="005F29A1" w:rsidP="0006034B">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33559EDE"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5F29A1" w:rsidRPr="005648DA" w14:paraId="22377F8B" w14:textId="77777777" w:rsidTr="00BE3D2E">
        <w:tc>
          <w:tcPr>
            <w:tcW w:w="2113" w:type="dxa"/>
            <w:gridSpan w:val="4"/>
            <w:tcBorders>
              <w:top w:val="nil"/>
              <w:left w:val="single" w:sz="4" w:space="0" w:color="auto"/>
              <w:bottom w:val="nil"/>
              <w:right w:val="nil"/>
            </w:tcBorders>
            <w:vAlign w:val="center"/>
          </w:tcPr>
          <w:p w14:paraId="35D527E1"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D67C4F8"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20FC3CF5" w14:textId="77777777" w:rsidR="005F29A1" w:rsidRPr="005648DA" w:rsidRDefault="005F29A1" w:rsidP="0006034B">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07BB34D6"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33E6A134"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31C308DB" w14:textId="77777777" w:rsidR="005F29A1" w:rsidRPr="005648DA" w:rsidRDefault="005F29A1" w:rsidP="0006034B">
            <w:pPr>
              <w:spacing w:line="276" w:lineRule="auto"/>
              <w:contextualSpacing/>
              <w:jc w:val="center"/>
              <w:rPr>
                <w:rFonts w:cs="David"/>
                <w:b/>
                <w:bCs/>
                <w:color w:val="0070C0"/>
                <w:sz w:val="19"/>
                <w:szCs w:val="19"/>
                <w:rtl/>
              </w:rPr>
            </w:pPr>
          </w:p>
        </w:tc>
      </w:tr>
      <w:tr w:rsidR="005F29A1" w:rsidRPr="005648DA" w14:paraId="7E871039" w14:textId="77777777" w:rsidTr="00BE3D2E">
        <w:tc>
          <w:tcPr>
            <w:tcW w:w="2122" w:type="dxa"/>
            <w:gridSpan w:val="5"/>
            <w:tcBorders>
              <w:top w:val="nil"/>
              <w:left w:val="single" w:sz="4" w:space="0" w:color="auto"/>
              <w:bottom w:val="single" w:sz="4" w:space="0" w:color="auto"/>
              <w:right w:val="nil"/>
            </w:tcBorders>
            <w:vAlign w:val="center"/>
          </w:tcPr>
          <w:p w14:paraId="4624C3FF" w14:textId="6C291678" w:rsidR="005F29A1" w:rsidRPr="00E52D0C" w:rsidRDefault="005F29A1" w:rsidP="0006034B">
            <w:pPr>
              <w:spacing w:line="276" w:lineRule="auto"/>
              <w:contextualSpacing/>
              <w:jc w:val="center"/>
              <w:rPr>
                <w:rFonts w:ascii="David" w:hAnsi="David" w:cs="David"/>
                <w:b/>
                <w:bCs/>
                <w:color w:val="0070C0"/>
                <w:sz w:val="19"/>
                <w:szCs w:val="19"/>
                <w:rtl/>
              </w:rPr>
            </w:pPr>
          </w:p>
        </w:tc>
        <w:tc>
          <w:tcPr>
            <w:tcW w:w="2410" w:type="dxa"/>
            <w:gridSpan w:val="3"/>
            <w:tcBorders>
              <w:top w:val="nil"/>
              <w:left w:val="nil"/>
              <w:bottom w:val="single" w:sz="4" w:space="0" w:color="auto"/>
              <w:right w:val="nil"/>
            </w:tcBorders>
            <w:vAlign w:val="center"/>
          </w:tcPr>
          <w:p w14:paraId="0B7FF8F0" w14:textId="7F4FF047" w:rsidR="005F29A1" w:rsidRPr="005648DA" w:rsidRDefault="00BE3D2E" w:rsidP="0006034B">
            <w:pPr>
              <w:spacing w:line="276"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477DC6DC" w14:textId="3C34395A" w:rsidR="005F29A1" w:rsidRPr="005648DA" w:rsidRDefault="00BE3D2E" w:rsidP="0006034B">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5"/>
            <w:tcBorders>
              <w:top w:val="nil"/>
              <w:left w:val="nil"/>
              <w:bottom w:val="single" w:sz="4" w:space="0" w:color="auto"/>
              <w:right w:val="single" w:sz="4" w:space="0" w:color="auto"/>
            </w:tcBorders>
            <w:vAlign w:val="center"/>
          </w:tcPr>
          <w:p w14:paraId="3F42BE30" w14:textId="2644DE47" w:rsidR="005F29A1" w:rsidRPr="005648DA" w:rsidRDefault="005F29A1" w:rsidP="0006034B">
            <w:pPr>
              <w:spacing w:line="276" w:lineRule="auto"/>
              <w:contextualSpacing/>
              <w:jc w:val="center"/>
              <w:rPr>
                <w:rFonts w:cs="David"/>
                <w:b/>
                <w:bCs/>
                <w:color w:val="0070C0"/>
                <w:sz w:val="19"/>
                <w:szCs w:val="19"/>
                <w:rtl/>
              </w:rPr>
            </w:pPr>
          </w:p>
        </w:tc>
      </w:tr>
    </w:tbl>
    <w:p w14:paraId="1E866447" w14:textId="77777777" w:rsidR="005F29A1" w:rsidRDefault="005F29A1" w:rsidP="005F29A1">
      <w:pPr>
        <w:contextualSpacing/>
        <w:rPr>
          <w:rFonts w:ascii="David" w:hAnsi="David" w:cs="David"/>
        </w:rPr>
      </w:pPr>
    </w:p>
    <w:p w14:paraId="24C1BE27" w14:textId="77777777" w:rsidR="005F29A1" w:rsidRDefault="005F29A1" w:rsidP="005F29A1">
      <w:pPr>
        <w:rPr>
          <w:rtl/>
        </w:rPr>
      </w:pPr>
    </w:p>
    <w:p w14:paraId="59444433" w14:textId="77777777" w:rsidR="005F29A1" w:rsidRDefault="005F29A1" w:rsidP="001953F7">
      <w:pPr>
        <w:contextualSpacing/>
        <w:jc w:val="center"/>
        <w:rPr>
          <w:color w:val="0070C0"/>
          <w:rtl/>
        </w:rPr>
      </w:pPr>
    </w:p>
    <w:sectPr w:rsidR="005F29A1" w:rsidSect="00780EA8">
      <w:headerReference w:type="default" r:id="rId21"/>
      <w:headerReference w:type="first" r:id="rId22"/>
      <w:endnotePr>
        <w:numFmt w:val="decimal"/>
      </w:endnotePr>
      <w:type w:val="continuous"/>
      <w:pgSz w:w="11906" w:h="16838" w:code="9"/>
      <w:pgMar w:top="1134"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66EDB096" w:rsidR="003056AF" w:rsidRPr="00FA505B" w:rsidRDefault="0055771E"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בהעלותך</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8"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9"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3"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7"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1"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2"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7"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28"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29"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0"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1"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32"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6"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33"/>
  </w:num>
  <w:num w:numId="2">
    <w:abstractNumId w:val="25"/>
  </w:num>
  <w:num w:numId="3">
    <w:abstractNumId w:val="18"/>
  </w:num>
  <w:num w:numId="4">
    <w:abstractNumId w:val="16"/>
  </w:num>
  <w:num w:numId="5">
    <w:abstractNumId w:val="31"/>
  </w:num>
  <w:num w:numId="6">
    <w:abstractNumId w:val="26"/>
  </w:num>
  <w:num w:numId="7">
    <w:abstractNumId w:val="22"/>
  </w:num>
  <w:num w:numId="8">
    <w:abstractNumId w:val="13"/>
  </w:num>
  <w:num w:numId="9">
    <w:abstractNumId w:val="2"/>
  </w:num>
  <w:num w:numId="10">
    <w:abstractNumId w:val="6"/>
  </w:num>
  <w:num w:numId="11">
    <w:abstractNumId w:val="9"/>
  </w:num>
  <w:num w:numId="12">
    <w:abstractNumId w:val="35"/>
  </w:num>
  <w:num w:numId="13">
    <w:abstractNumId w:val="5"/>
  </w:num>
  <w:num w:numId="14">
    <w:abstractNumId w:val="36"/>
  </w:num>
  <w:num w:numId="15">
    <w:abstractNumId w:val="8"/>
  </w:num>
  <w:num w:numId="16">
    <w:abstractNumId w:val="12"/>
  </w:num>
  <w:num w:numId="17">
    <w:abstractNumId w:val="29"/>
  </w:num>
  <w:num w:numId="18">
    <w:abstractNumId w:val="15"/>
  </w:num>
  <w:num w:numId="19">
    <w:abstractNumId w:val="34"/>
  </w:num>
  <w:num w:numId="20">
    <w:abstractNumId w:val="19"/>
  </w:num>
  <w:num w:numId="21">
    <w:abstractNumId w:val="17"/>
  </w:num>
  <w:num w:numId="22">
    <w:abstractNumId w:val="14"/>
  </w:num>
  <w:num w:numId="23">
    <w:abstractNumId w:val="27"/>
  </w:num>
  <w:num w:numId="24">
    <w:abstractNumId w:val="11"/>
  </w:num>
  <w:num w:numId="25">
    <w:abstractNumId w:val="32"/>
  </w:num>
  <w:num w:numId="26">
    <w:abstractNumId w:val="3"/>
  </w:num>
  <w:num w:numId="27">
    <w:abstractNumId w:val="10"/>
  </w:num>
  <w:num w:numId="28">
    <w:abstractNumId w:val="4"/>
  </w:num>
  <w:num w:numId="29">
    <w:abstractNumId w:val="1"/>
  </w:num>
  <w:num w:numId="30">
    <w:abstractNumId w:val="30"/>
  </w:num>
  <w:num w:numId="31">
    <w:abstractNumId w:val="7"/>
  </w:num>
  <w:num w:numId="32">
    <w:abstractNumId w:val="21"/>
  </w:num>
  <w:num w:numId="33">
    <w:abstractNumId w:val="24"/>
  </w:num>
  <w:num w:numId="34">
    <w:abstractNumId w:val="23"/>
  </w:num>
  <w:num w:numId="35">
    <w:abstractNumId w:val="20"/>
  </w:num>
  <w:num w:numId="36">
    <w:abstractNumId w:val="2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BEF"/>
    <w:rsid w:val="00FF1E0F"/>
    <w:rsid w:val="00FF20BE"/>
    <w:rsid w:val="00FF221C"/>
    <w:rsid w:val="00FF23D9"/>
    <w:rsid w:val="00FF2486"/>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2785</Words>
  <Characters>13288</Characters>
  <Application>Microsoft Office Word</Application>
  <DocSecurity>0</DocSecurity>
  <Lines>110</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10</cp:revision>
  <cp:lastPrinted>2025-01-30T11:17:00Z</cp:lastPrinted>
  <dcterms:created xsi:type="dcterms:W3CDTF">2026-05-25T15:03:00Z</dcterms:created>
  <dcterms:modified xsi:type="dcterms:W3CDTF">2026-05-27T09:54:00Z</dcterms:modified>
</cp:coreProperties>
</file>