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08B78D0B"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F1ADF">
              <w:rPr>
                <w:rFonts w:ascii="Arial Black" w:hAnsi="Arial Black" w:cs="David" w:hint="cs"/>
                <w:b/>
                <w:bCs/>
                <w:iCs/>
                <w:color w:val="960000"/>
                <w:sz w:val="50"/>
                <w:szCs w:val="50"/>
                <w:rtl/>
              </w:rPr>
              <w:t>חקת</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0FD36939" w:rsidR="00512DD9" w:rsidRPr="0045737A" w:rsidRDefault="00512DD9" w:rsidP="00C110AA">
            <w:pPr>
              <w:shd w:val="clear" w:color="auto" w:fill="FFFFFF"/>
              <w:rPr>
                <w:rFonts w:ascii="David" w:hAnsi="David" w:cs="David"/>
                <w:sz w:val="6"/>
                <w:szCs w:val="6"/>
              </w:rPr>
            </w:pPr>
            <w:bookmarkStart w:id="1" w:name="_Hlk213923647"/>
          </w:p>
          <w:p w14:paraId="6DEC7DB0" w14:textId="28CFE7C6" w:rsidR="00C57FAB" w:rsidRPr="00C37C95" w:rsidRDefault="00C57FAB" w:rsidP="00C57FAB">
            <w:pPr>
              <w:ind w:right="604"/>
              <w:contextualSpacing/>
              <w:jc w:val="center"/>
              <w:rPr>
                <w:rFonts w:ascii="FrankRuehl" w:eastAsia="Calibri" w:hAnsi="FrankRuehl" w:cs="FrankRuehl"/>
                <w:b/>
                <w:bCs/>
                <w:color w:val="0070C0"/>
                <w:sz w:val="32"/>
                <w:szCs w:val="32"/>
                <w:u w:val="single"/>
                <w:rtl/>
              </w:rPr>
            </w:pPr>
            <w:bookmarkStart w:id="2" w:name="_Hlk184807529"/>
            <w:r w:rsidRPr="00C37C95">
              <w:rPr>
                <w:rFonts w:ascii="FrankRuehl" w:eastAsia="Calibri" w:hAnsi="FrankRuehl" w:cs="FrankRuehl" w:hint="cs"/>
                <w:b/>
                <w:bCs/>
                <w:color w:val="0070C0"/>
                <w:sz w:val="32"/>
                <w:szCs w:val="32"/>
                <w:u w:val="single"/>
                <w:rtl/>
              </w:rPr>
              <w:t xml:space="preserve">לכל איש יש שם. </w:t>
            </w:r>
            <w:r w:rsidRPr="00C37C95">
              <w:rPr>
                <w:rFonts w:ascii="FrankRuehl" w:eastAsia="Calibri" w:hAnsi="FrankRuehl" w:cs="FrankRuehl"/>
                <w:b/>
                <w:bCs/>
                <w:color w:val="0070C0"/>
                <w:sz w:val="32"/>
                <w:szCs w:val="32"/>
                <w:u w:val="single"/>
                <w:rtl/>
              </w:rPr>
              <w:t>על דת</w:t>
            </w:r>
            <w:r w:rsidRPr="00C37C95">
              <w:rPr>
                <w:rFonts w:ascii="FrankRuehl" w:eastAsia="Calibri" w:hAnsi="FrankRuehl" w:cs="FrankRuehl" w:hint="cs"/>
                <w:b/>
                <w:bCs/>
                <w:color w:val="0070C0"/>
                <w:sz w:val="32"/>
                <w:szCs w:val="32"/>
                <w:u w:val="single"/>
                <w:rtl/>
              </w:rPr>
              <w:t>,</w:t>
            </w:r>
            <w:r w:rsidRPr="00C37C95">
              <w:rPr>
                <w:rFonts w:ascii="FrankRuehl" w:eastAsia="Calibri" w:hAnsi="FrankRuehl" w:cs="FrankRuehl"/>
                <w:b/>
                <w:bCs/>
                <w:color w:val="0070C0"/>
                <w:sz w:val="32"/>
                <w:szCs w:val="32"/>
                <w:u w:val="single"/>
                <w:rtl/>
              </w:rPr>
              <w:t xml:space="preserve"> רם </w:t>
            </w:r>
            <w:r w:rsidRPr="00C37C95">
              <w:rPr>
                <w:rFonts w:ascii="FrankRuehl" w:eastAsia="Calibri" w:hAnsi="FrankRuehl" w:cs="FrankRuehl" w:hint="cs"/>
                <w:b/>
                <w:bCs/>
                <w:color w:val="0070C0"/>
                <w:sz w:val="32"/>
                <w:szCs w:val="32"/>
                <w:u w:val="single"/>
                <w:rtl/>
              </w:rPr>
              <w:t>ו</w:t>
            </w:r>
            <w:r w:rsidRPr="00C37C95">
              <w:rPr>
                <w:rFonts w:ascii="FrankRuehl" w:eastAsia="Calibri" w:hAnsi="FrankRuehl" w:cs="FrankRuehl"/>
                <w:b/>
                <w:bCs/>
                <w:color w:val="0070C0"/>
                <w:sz w:val="32"/>
                <w:szCs w:val="32"/>
                <w:u w:val="single"/>
                <w:rtl/>
              </w:rPr>
              <w:t>שלטון</w:t>
            </w:r>
          </w:p>
          <w:p w14:paraId="2EBB9915" w14:textId="73FD7451" w:rsidR="00C57FAB" w:rsidRDefault="00C57FAB" w:rsidP="00C57FAB">
            <w:pPr>
              <w:spacing w:line="276" w:lineRule="auto"/>
              <w:ind w:right="604"/>
              <w:jc w:val="center"/>
              <w:rPr>
                <w:rFonts w:ascii="David" w:eastAsia="Calibri" w:hAnsi="David" w:cs="David"/>
                <w:kern w:val="2"/>
                <w:sz w:val="23"/>
                <w:szCs w:val="23"/>
                <w:rtl/>
                <w14:ligatures w14:val="standardContextua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2B4973BE" w14:textId="3F6311AD"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קרח, דתן ואבירם, ומחלקותיהם כנגד משה רבינו (שלא נהג כמותם משום בחינה), העסיקו אותנו בשבוע שעבר, בדברינו </w:t>
            </w:r>
            <w:hyperlink r:id="rId11" w:history="1">
              <w:r w:rsidRPr="00C37C95">
                <w:rPr>
                  <w:rFonts w:ascii="David" w:eastAsia="Calibri" w:hAnsi="David" w:cs="David"/>
                  <w:color w:val="0563C1"/>
                  <w:kern w:val="2"/>
                  <w:sz w:val="23"/>
                  <w:szCs w:val="23"/>
                  <w:u w:val="single"/>
                  <w:rtl/>
                  <w14:ligatures w14:val="standardContextual"/>
                </w:rPr>
                <w:t>לפרשת קרח תשפ"ו</w:t>
              </w:r>
            </w:hyperlink>
            <w:r w:rsidRPr="00C37C95">
              <w:rPr>
                <w:rFonts w:ascii="David" w:eastAsia="Calibri" w:hAnsi="David" w:cs="David"/>
                <w:kern w:val="2"/>
                <w:sz w:val="23"/>
                <w:szCs w:val="23"/>
                <w:rtl/>
                <w14:ligatures w14:val="standardContextual"/>
              </w:rPr>
              <w:t xml:space="preserve">. דתן ואבירם לא קיבלו עליהם, לאורך כל הדרך, את מנהיגותו של משה, כמאמר הגמרא "הוא דתן ואבירם - הן ברשען מתחילתן ועד סופן" </w:t>
            </w:r>
            <w:r w:rsidRPr="00C37C95">
              <w:rPr>
                <w:rFonts w:ascii="David" w:eastAsia="Calibri" w:hAnsi="David" w:cs="David"/>
                <w:kern w:val="2"/>
                <w:sz w:val="20"/>
                <w:szCs w:val="20"/>
                <w:rtl/>
                <w14:ligatures w14:val="standardContextual"/>
              </w:rPr>
              <w:t>(מגילה יא ע"א).</w:t>
            </w:r>
            <w:r w:rsidRPr="00C37C95">
              <w:rPr>
                <w:rFonts w:ascii="David" w:eastAsia="Calibri" w:hAnsi="David" w:cs="David"/>
                <w:kern w:val="2"/>
                <w:sz w:val="23"/>
                <w:szCs w:val="23"/>
                <w:rtl/>
                <w14:ligatures w14:val="standardContextual"/>
              </w:rPr>
              <w:t xml:space="preserve"> ביאור שמותיהם (ושם אביהם) יספר לנו מה הניע אותם?</w:t>
            </w:r>
          </w:p>
          <w:p w14:paraId="3BEA0F60" w14:textId="77691B13"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נתחיל בהקדמה קצרה. שמו של אדם המופיע בתנ"ך מאוד משמעותי וניתן ללמוד ממנו רבות אודותיו. לחלק גדול מהדמויות המופיעות בו, יש יותר משם אחד. במקום שהכתוב איננו מציין זאת במפורש, לא ברור אם השם המופיע הוא השם שניתן לאדם עם היוולדו, לרוב על ידי הוריו, או שם שניתן לאדם בעקבות פועלו. </w:t>
            </w:r>
          </w:p>
          <w:p w14:paraId="1D5C9711"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יש האומרים כי גם שם שניתן לכל תינוק, יש בו מעין נבואה שנזרקת בהורים ברגע המיוחד של קריאתו. </w:t>
            </w:r>
          </w:p>
          <w:p w14:paraId="041C1BB4" w14:textId="77777777" w:rsidR="00C37C95" w:rsidRPr="00C37C95" w:rsidRDefault="00C37C95" w:rsidP="00C37C95">
            <w:pPr>
              <w:spacing w:line="252" w:lineRule="auto"/>
              <w:rPr>
                <w:rFonts w:ascii="David" w:eastAsia="Calibri" w:hAnsi="David" w:cs="David"/>
                <w:kern w:val="2"/>
                <w:sz w:val="20"/>
                <w:szCs w:val="20"/>
                <w:rtl/>
                <w14:ligatures w14:val="standardContextual"/>
              </w:rPr>
            </w:pPr>
            <w:r w:rsidRPr="00C37C95">
              <w:rPr>
                <w:rFonts w:ascii="David" w:eastAsia="Calibri" w:hAnsi="David" w:cs="David"/>
                <w:kern w:val="2"/>
                <w:sz w:val="23"/>
                <w:szCs w:val="23"/>
                <w:rtl/>
                <w14:ligatures w14:val="standardContextual"/>
              </w:rPr>
              <w:t>חז"ל דרשו את שמותיהם בדרך הבאה: "דתן - שעבר על דת אל, אבירם - שאיבר עצמו מעשות תשובה" </w:t>
            </w:r>
            <w:r w:rsidRPr="00C37C95">
              <w:rPr>
                <w:rFonts w:ascii="David" w:eastAsia="Calibri" w:hAnsi="David" w:cs="David"/>
                <w:kern w:val="2"/>
                <w:sz w:val="20"/>
                <w:szCs w:val="20"/>
                <w:rtl/>
                <w14:ligatures w14:val="standardContextual"/>
              </w:rPr>
              <w:t>(סנהדרין קט ע"ב).</w:t>
            </w:r>
          </w:p>
          <w:p w14:paraId="455F8887"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אחרי בקשת המחילה, נלך בעקבותיהם של רבי אברהם אבן עזרא ובעל ה"חזקוני", בדרך קצת אחרת.</w:t>
            </w:r>
          </w:p>
          <w:p w14:paraId="7D058F76" w14:textId="77777777" w:rsidR="00C37C95" w:rsidRPr="00C37C95" w:rsidRDefault="00C37C95" w:rsidP="00C37C95">
            <w:pPr>
              <w:spacing w:line="252" w:lineRule="auto"/>
              <w:rPr>
                <w:rFonts w:ascii="David" w:eastAsia="Calibri" w:hAnsi="David" w:cs="David"/>
                <w:kern w:val="2"/>
                <w:sz w:val="20"/>
                <w:szCs w:val="20"/>
                <w:rtl/>
                <w14:ligatures w14:val="standardContextual"/>
              </w:rPr>
            </w:pPr>
            <w:r w:rsidRPr="00C37C95">
              <w:rPr>
                <w:rFonts w:ascii="David" w:eastAsia="Calibri" w:hAnsi="David" w:cs="David"/>
                <w:kern w:val="2"/>
                <w:sz w:val="23"/>
                <w:szCs w:val="23"/>
                <w:rtl/>
                <w14:ligatures w14:val="standardContextual"/>
              </w:rPr>
              <w:t xml:space="preserve">הכתוב מדגיש כי דתן ואבירם היו בני אליאב בן ראובן וז"ל: </w:t>
            </w:r>
            <w:r w:rsidRPr="00C37C95">
              <w:rPr>
                <w:rFonts w:ascii="FrankRuehl" w:eastAsia="Calibri" w:hAnsi="FrankRuehl" w:cs="FrankRuehl"/>
                <w:kern w:val="2"/>
                <w:rtl/>
                <w14:ligatures w14:val="standardContextual"/>
              </w:rPr>
              <w:t xml:space="preserve">"וַאֲשֶׁר עָשָׂה </w:t>
            </w:r>
            <w:r w:rsidRPr="00C37C95">
              <w:rPr>
                <w:rFonts w:ascii="FrankRuehl" w:eastAsia="Calibri" w:hAnsi="FrankRuehl" w:cs="FrankRuehl"/>
                <w:b/>
                <w:bCs/>
                <w:kern w:val="2"/>
                <w:rtl/>
                <w14:ligatures w14:val="standardContextual"/>
              </w:rPr>
              <w:t>לְדָתָן וְלַאֲבִירָם בְּנֵי אֱלִיאָב</w:t>
            </w:r>
            <w:r w:rsidRPr="00C37C95">
              <w:rPr>
                <w:rFonts w:ascii="FrankRuehl" w:eastAsia="Calibri" w:hAnsi="FrankRuehl" w:cs="FrankRuehl"/>
                <w:kern w:val="2"/>
                <w:rtl/>
                <w14:ligatures w14:val="standardContextual"/>
              </w:rPr>
              <w:t xml:space="preserve"> </w:t>
            </w:r>
            <w:r w:rsidRPr="00C37C95">
              <w:rPr>
                <w:rFonts w:ascii="FrankRuehl" w:eastAsia="Calibri" w:hAnsi="FrankRuehl" w:cs="FrankRuehl"/>
                <w:b/>
                <w:bCs/>
                <w:kern w:val="2"/>
                <w:rtl/>
                <w14:ligatures w14:val="standardContextual"/>
              </w:rPr>
              <w:t>בֶּן רְאוּבֵן</w:t>
            </w:r>
            <w:r w:rsidRPr="00C37C95">
              <w:rPr>
                <w:rFonts w:ascii="FrankRuehl" w:eastAsia="Calibri" w:hAnsi="FrankRuehl" w:cs="FrankRuehl"/>
                <w:kern w:val="2"/>
                <w:rtl/>
                <w14:ligatures w14:val="standardContextual"/>
              </w:rPr>
              <w:t xml:space="preserve"> אֲשֶׁר פָּצְתָה הָאָרֶץ אֶת פִּיהָ וַתִּבְלָעֵם וְאֶת בָּתֵּיהֶם וְאֶת </w:t>
            </w:r>
            <w:proofErr w:type="spellStart"/>
            <w:r w:rsidRPr="00C37C95">
              <w:rPr>
                <w:rFonts w:ascii="FrankRuehl" w:eastAsia="Calibri" w:hAnsi="FrankRuehl" w:cs="FrankRuehl"/>
                <w:kern w:val="2"/>
                <w:rtl/>
                <w14:ligatures w14:val="standardContextual"/>
              </w:rPr>
              <w:t>אָהֳלֵיהֶם</w:t>
            </w:r>
            <w:proofErr w:type="spellEnd"/>
            <w:r w:rsidRPr="00C37C95">
              <w:rPr>
                <w:rFonts w:ascii="FrankRuehl" w:eastAsia="Calibri" w:hAnsi="FrankRuehl" w:cs="FrankRuehl"/>
                <w:kern w:val="2"/>
                <w:rtl/>
                <w14:ligatures w14:val="standardContextual"/>
              </w:rPr>
              <w:t xml:space="preserve"> וְאֵת כָּל הַיְקוּם אֲשֶׁר בְּרַגְלֵיהֶם בְּקֶרֶב כָּל יִשְׂרָאֵל" </w:t>
            </w:r>
            <w:r w:rsidRPr="00C37C95">
              <w:rPr>
                <w:rFonts w:ascii="David" w:eastAsia="Calibri" w:hAnsi="David" w:cs="David"/>
                <w:kern w:val="2"/>
                <w:sz w:val="20"/>
                <w:szCs w:val="20"/>
                <w:rtl/>
                <w14:ligatures w14:val="standardContextual"/>
              </w:rPr>
              <w:t>(דברים יא, ו).</w:t>
            </w:r>
          </w:p>
          <w:p w14:paraId="595D9BB3"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מסביר אבן עזרא: "וקשר דתן ואבירם, בעבר שהסיר הבכורה מראובן אביהם ונתנה ליוסף". לדעתו, צאצאיו של ראובן לא ויתרו לדעתם, על זכותו של ראובן וזכות צאצאיו בהמשך הדורות להנהיג, זאת </w:t>
            </w:r>
            <w:proofErr w:type="spellStart"/>
            <w:r w:rsidRPr="00C37C95">
              <w:rPr>
                <w:rFonts w:ascii="David" w:eastAsia="Calibri" w:hAnsi="David" w:cs="David"/>
                <w:kern w:val="2"/>
                <w:sz w:val="23"/>
                <w:szCs w:val="23"/>
                <w:rtl/>
                <w14:ligatures w14:val="standardContextual"/>
              </w:rPr>
              <w:t>מכח</w:t>
            </w:r>
            <w:proofErr w:type="spellEnd"/>
            <w:r w:rsidRPr="00C37C95">
              <w:rPr>
                <w:rFonts w:ascii="David" w:eastAsia="Calibri" w:hAnsi="David" w:cs="David"/>
                <w:kern w:val="2"/>
                <w:sz w:val="23"/>
                <w:szCs w:val="23"/>
                <w:rtl/>
                <w14:ligatures w14:val="standardContextual"/>
              </w:rPr>
              <w:t xml:space="preserve"> היותו הבכור </w:t>
            </w:r>
            <w:proofErr w:type="spellStart"/>
            <w:r w:rsidRPr="00C37C95">
              <w:rPr>
                <w:rFonts w:ascii="David" w:eastAsia="Calibri" w:hAnsi="David" w:cs="David"/>
                <w:kern w:val="2"/>
                <w:sz w:val="23"/>
                <w:szCs w:val="23"/>
                <w:rtl/>
                <w14:ligatures w14:val="standardContextual"/>
              </w:rPr>
              <w:t>ומכח</w:t>
            </w:r>
            <w:proofErr w:type="spellEnd"/>
            <w:r w:rsidRPr="00C37C95">
              <w:rPr>
                <w:rFonts w:ascii="David" w:eastAsia="Calibri" w:hAnsi="David" w:cs="David"/>
                <w:kern w:val="2"/>
                <w:sz w:val="23"/>
                <w:szCs w:val="23"/>
                <w:rtl/>
                <w14:ligatures w14:val="standardContextual"/>
              </w:rPr>
              <w:t xml:space="preserve"> </w:t>
            </w:r>
            <w:proofErr w:type="spellStart"/>
            <w:r w:rsidRPr="00C37C95">
              <w:rPr>
                <w:rFonts w:ascii="David" w:eastAsia="Calibri" w:hAnsi="David" w:cs="David"/>
                <w:kern w:val="2"/>
                <w:sz w:val="23"/>
                <w:szCs w:val="23"/>
                <w:rtl/>
                <w14:ligatures w14:val="standardContextual"/>
              </w:rPr>
              <w:t>אמו</w:t>
            </w:r>
            <w:proofErr w:type="spellEnd"/>
            <w:r w:rsidRPr="00C37C95">
              <w:rPr>
                <w:rFonts w:ascii="David" w:eastAsia="Calibri" w:hAnsi="David" w:cs="David"/>
                <w:kern w:val="2"/>
                <w:sz w:val="23"/>
                <w:szCs w:val="23"/>
                <w:rtl/>
                <w14:ligatures w14:val="standardContextual"/>
              </w:rPr>
              <w:t xml:space="preserve"> לאה, </w:t>
            </w:r>
            <w:proofErr w:type="spellStart"/>
            <w:r w:rsidRPr="00C37C95">
              <w:rPr>
                <w:rFonts w:ascii="David" w:eastAsia="Calibri" w:hAnsi="David" w:cs="David"/>
                <w:kern w:val="2"/>
                <w:sz w:val="23"/>
                <w:szCs w:val="23"/>
                <w:rtl/>
                <w14:ligatures w14:val="standardContextual"/>
              </w:rPr>
              <w:t>האשה</w:t>
            </w:r>
            <w:proofErr w:type="spellEnd"/>
            <w:r w:rsidRPr="00C37C95">
              <w:rPr>
                <w:rFonts w:ascii="David" w:eastAsia="Calibri" w:hAnsi="David" w:cs="David"/>
                <w:kern w:val="2"/>
                <w:sz w:val="23"/>
                <w:szCs w:val="23"/>
                <w:rtl/>
                <w14:ligatures w14:val="standardContextual"/>
              </w:rPr>
              <w:t xml:space="preserve"> הראשונה שקדמה לרחל - </w:t>
            </w:r>
            <w:proofErr w:type="spellStart"/>
            <w:r w:rsidRPr="00C37C95">
              <w:rPr>
                <w:rFonts w:ascii="David" w:eastAsia="Calibri" w:hAnsi="David" w:cs="David"/>
                <w:kern w:val="2"/>
                <w:sz w:val="23"/>
                <w:szCs w:val="23"/>
                <w:rtl/>
                <w14:ligatures w14:val="standardContextual"/>
              </w:rPr>
              <w:t>אמו</w:t>
            </w:r>
            <w:proofErr w:type="spellEnd"/>
            <w:r w:rsidRPr="00C37C95">
              <w:rPr>
                <w:rFonts w:ascii="David" w:eastAsia="Calibri" w:hAnsi="David" w:cs="David"/>
                <w:kern w:val="2"/>
                <w:sz w:val="23"/>
                <w:szCs w:val="23"/>
                <w:rtl/>
                <w14:ligatures w14:val="standardContextual"/>
              </w:rPr>
              <w:t xml:space="preserve"> של יוסף. מחאתו של ראובן ב"מעשה בלהה" </w:t>
            </w:r>
            <w:r w:rsidRPr="00C37C95">
              <w:rPr>
                <w:rFonts w:ascii="David" w:eastAsia="Calibri" w:hAnsi="David" w:cs="David"/>
                <w:kern w:val="2"/>
                <w:sz w:val="20"/>
                <w:szCs w:val="20"/>
                <w:rtl/>
                <w14:ligatures w14:val="standardContextual"/>
              </w:rPr>
              <w:t xml:space="preserve">(בראשית לה, </w:t>
            </w:r>
            <w:proofErr w:type="spellStart"/>
            <w:r w:rsidRPr="00C37C95">
              <w:rPr>
                <w:rFonts w:ascii="David" w:eastAsia="Calibri" w:hAnsi="David" w:cs="David"/>
                <w:kern w:val="2"/>
                <w:sz w:val="20"/>
                <w:szCs w:val="20"/>
                <w:rtl/>
                <w14:ligatures w14:val="standardContextual"/>
              </w:rPr>
              <w:t>כב</w:t>
            </w:r>
            <w:proofErr w:type="spellEnd"/>
            <w:r w:rsidRPr="00C37C95">
              <w:rPr>
                <w:rFonts w:ascii="David" w:eastAsia="Calibri" w:hAnsi="David" w:cs="David"/>
                <w:kern w:val="2"/>
                <w:sz w:val="20"/>
                <w:szCs w:val="20"/>
                <w:rtl/>
                <w14:ligatures w14:val="standardContextual"/>
              </w:rPr>
              <w:t>)</w:t>
            </w:r>
            <w:r w:rsidRPr="00C37C95">
              <w:rPr>
                <w:rFonts w:ascii="David" w:eastAsia="Calibri" w:hAnsi="David" w:cs="David"/>
                <w:kern w:val="2"/>
                <w:sz w:val="23"/>
                <w:szCs w:val="23"/>
                <w:rtl/>
                <w14:ligatures w14:val="standardContextual"/>
              </w:rPr>
              <w:t xml:space="preserve"> הביאה לידי ביטוי את שתי הבחינות שהכעיסו אותו (נכון לכל השיטות, בפירוש פסוק זה). מניע זה בא לידי ביטוי בשמותיהם של הנכדים. </w:t>
            </w:r>
          </w:p>
          <w:p w14:paraId="772B095A"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מנהיגות ושלטון באים לידי ביטוי בארבעה תחומים במקום בו אין עיקרון של הפרדת רשויות (ביהדות קיימת הפרדה): </w:t>
            </w:r>
          </w:p>
          <w:p w14:paraId="4912AE0B"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א. הסמכות לחוקק.      ב. הסמכות לעמוד בראש הרשות המבצעת – הראש- הגבוה (הנגיד-הנשיא).  </w:t>
            </w:r>
          </w:p>
          <w:p w14:paraId="6CABA8A5"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ג.  הסמכות לייצג את האל.      ד. הסמכות לשפוט. </w:t>
            </w:r>
          </w:p>
          <w:p w14:paraId="7626834A" w14:textId="168D4D5D"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לפי זה, שמו של </w:t>
            </w:r>
            <w:r w:rsidRPr="00C37C95">
              <w:rPr>
                <w:rFonts w:ascii="David" w:eastAsia="Calibri" w:hAnsi="David" w:cs="David"/>
                <w:b/>
                <w:bCs/>
                <w:kern w:val="2"/>
                <w:sz w:val="23"/>
                <w:szCs w:val="23"/>
                <w:rtl/>
                <w14:ligatures w14:val="standardContextual"/>
              </w:rPr>
              <w:t>דתן</w:t>
            </w:r>
            <w:r w:rsidRPr="00C37C95">
              <w:rPr>
                <w:rFonts w:ascii="David" w:eastAsia="Calibri" w:hAnsi="David" w:cs="David"/>
                <w:kern w:val="2"/>
                <w:sz w:val="23"/>
                <w:szCs w:val="23"/>
                <w:rtl/>
                <w14:ligatures w14:val="standardContextual"/>
              </w:rPr>
              <w:t xml:space="preserve"> יתפרש מלשון דת = חוק. שהרי דת בלשון הכתוב משמעותו היא חוק [כמו </w:t>
            </w:r>
            <w:r w:rsidRPr="00C37C95">
              <w:rPr>
                <w:rFonts w:ascii="FrankRuehl" w:eastAsia="Calibri" w:hAnsi="FrankRuehl" w:cs="FrankRuehl"/>
                <w:kern w:val="2"/>
                <w:rtl/>
                <w14:ligatures w14:val="standardContextual"/>
              </w:rPr>
              <w:t xml:space="preserve">דָּת לָמוֹ </w:t>
            </w:r>
            <w:r w:rsidRPr="00C37C95">
              <w:rPr>
                <w:rFonts w:ascii="David" w:eastAsia="Calibri" w:hAnsi="David" w:cs="David"/>
                <w:kern w:val="2"/>
                <w:sz w:val="20"/>
                <w:szCs w:val="20"/>
                <w:rtl/>
                <w14:ligatures w14:val="standardContextual"/>
              </w:rPr>
              <w:t>(דברים לג, ב),</w:t>
            </w:r>
            <w:r w:rsidRPr="00C37C95">
              <w:rPr>
                <w:rFonts w:ascii="David" w:eastAsia="Calibri" w:hAnsi="David" w:cs="David"/>
                <w:kern w:val="2"/>
                <w:sz w:val="23"/>
                <w:szCs w:val="23"/>
                <w:rtl/>
                <w14:ligatures w14:val="standardContextual"/>
              </w:rPr>
              <w:t xml:space="preserve"> ובמיוחד במגילת אסתר כמו </w:t>
            </w:r>
            <w:r w:rsidRPr="00C37C95">
              <w:rPr>
                <w:rFonts w:ascii="FrankRuehl" w:eastAsia="Calibri" w:hAnsi="FrankRuehl" w:cs="FrankRuehl"/>
                <w:kern w:val="2"/>
                <w:rtl/>
                <w14:ligatures w14:val="standardContextual"/>
              </w:rPr>
              <w:t xml:space="preserve">כָּל יֹדְעֵי דָּת וָדִין </w:t>
            </w:r>
            <w:r w:rsidRPr="00C37C95">
              <w:rPr>
                <w:rFonts w:ascii="David" w:eastAsia="Calibri" w:hAnsi="David" w:cs="David"/>
                <w:kern w:val="2"/>
                <w:sz w:val="20"/>
                <w:szCs w:val="20"/>
                <w:rtl/>
                <w14:ligatures w14:val="standardContextual"/>
              </w:rPr>
              <w:t xml:space="preserve">(א, </w:t>
            </w:r>
            <w:proofErr w:type="spellStart"/>
            <w:r w:rsidRPr="00C37C95">
              <w:rPr>
                <w:rFonts w:ascii="David" w:eastAsia="Calibri" w:hAnsi="David" w:cs="David"/>
                <w:kern w:val="2"/>
                <w:sz w:val="20"/>
                <w:szCs w:val="20"/>
                <w:rtl/>
                <w14:ligatures w14:val="standardContextual"/>
              </w:rPr>
              <w:t>יג</w:t>
            </w:r>
            <w:proofErr w:type="spellEnd"/>
            <w:r w:rsidRPr="00C37C95">
              <w:rPr>
                <w:rFonts w:ascii="David" w:eastAsia="Calibri" w:hAnsi="David" w:cs="David"/>
                <w:kern w:val="2"/>
                <w:sz w:val="20"/>
                <w:szCs w:val="20"/>
                <w:rtl/>
                <w14:ligatures w14:val="standardContextual"/>
              </w:rPr>
              <w:t>)</w:t>
            </w:r>
            <w:r w:rsidRPr="00C37C95">
              <w:rPr>
                <w:rFonts w:ascii="David" w:eastAsia="Calibri" w:hAnsi="David" w:cs="David"/>
                <w:kern w:val="2"/>
                <w:sz w:val="23"/>
                <w:szCs w:val="23"/>
                <w:rtl/>
                <w14:ligatures w14:val="standardContextual"/>
              </w:rPr>
              <w:t xml:space="preserve"> ועוד]. </w:t>
            </w:r>
            <w:r>
              <w:rPr>
                <w:rFonts w:ascii="David" w:eastAsia="Calibri" w:hAnsi="David" w:cs="David" w:hint="cs"/>
                <w:kern w:val="2"/>
                <w:sz w:val="23"/>
                <w:szCs w:val="23"/>
                <w:rtl/>
                <w14:ligatures w14:val="standardContextual"/>
              </w:rPr>
              <w:t xml:space="preserve"> </w:t>
            </w:r>
            <w:r w:rsidRPr="00C37C95">
              <w:rPr>
                <w:rFonts w:ascii="David" w:eastAsia="Calibri" w:hAnsi="David" w:cs="David"/>
                <w:kern w:val="2"/>
                <w:sz w:val="23"/>
                <w:szCs w:val="23"/>
                <w:rtl/>
                <w14:ligatures w14:val="standardContextual"/>
              </w:rPr>
              <w:t xml:space="preserve">באמצעות שמו הכריז דתן: "אני הוא המנהיג, זה שמחוקק את החוקים ואוכף אותם"! </w:t>
            </w:r>
            <w:r w:rsidRPr="00C37C95">
              <w:rPr>
                <w:rFonts w:ascii="David" w:eastAsia="Calibri" w:hAnsi="David" w:cs="David"/>
                <w:b/>
                <w:bCs/>
                <w:kern w:val="2"/>
                <w:sz w:val="23"/>
                <w:szCs w:val="23"/>
                <w:rtl/>
                <w14:ligatures w14:val="standardContextual"/>
              </w:rPr>
              <w:t>גם השם אבירם</w:t>
            </w:r>
            <w:r w:rsidRPr="00C37C95">
              <w:rPr>
                <w:rFonts w:ascii="David" w:eastAsia="Calibri" w:hAnsi="David" w:cs="David"/>
                <w:kern w:val="2"/>
                <w:sz w:val="23"/>
                <w:szCs w:val="23"/>
                <w:rtl/>
                <w14:ligatures w14:val="standardContextual"/>
              </w:rPr>
              <w:t xml:space="preserve"> יתפרש: "אני חוליה בשושלת המלכותית, אבי הוא רם, הגבוה ביותר, ואני הוא אביו של הרם הבא, ההנהגה מגיעה לי"! אם זכינו להבנה זו, גם שמו של </w:t>
            </w:r>
            <w:r w:rsidRPr="00C37C95">
              <w:rPr>
                <w:rFonts w:ascii="David" w:eastAsia="Calibri" w:hAnsi="David" w:cs="David"/>
                <w:b/>
                <w:bCs/>
                <w:kern w:val="2"/>
                <w:sz w:val="23"/>
                <w:szCs w:val="23"/>
                <w:rtl/>
                <w14:ligatures w14:val="standardContextual"/>
              </w:rPr>
              <w:t>אליאב</w:t>
            </w:r>
            <w:r w:rsidRPr="00C37C95">
              <w:rPr>
                <w:rFonts w:ascii="David" w:eastAsia="Calibri" w:hAnsi="David" w:cs="David"/>
                <w:kern w:val="2"/>
                <w:sz w:val="23"/>
                <w:szCs w:val="23"/>
                <w:rtl/>
                <w14:ligatures w14:val="standardContextual"/>
              </w:rPr>
              <w:t xml:space="preserve"> אביהם מבטא את טענתם. </w:t>
            </w:r>
            <w:r w:rsidRPr="00C37C95">
              <w:rPr>
                <w:rFonts w:ascii="David" w:eastAsia="Calibri" w:hAnsi="David" w:cs="David"/>
                <w:b/>
                <w:bCs/>
                <w:kern w:val="2"/>
                <w:sz w:val="23"/>
                <w:szCs w:val="23"/>
                <w:rtl/>
                <w14:ligatures w14:val="standardContextual"/>
              </w:rPr>
              <w:t>אלי</w:t>
            </w:r>
            <w:r w:rsidRPr="00C37C95">
              <w:rPr>
                <w:rFonts w:ascii="David" w:eastAsia="Calibri" w:hAnsi="David" w:cs="David"/>
                <w:kern w:val="2"/>
                <w:sz w:val="23"/>
                <w:szCs w:val="23"/>
                <w:rtl/>
                <w14:ligatures w14:val="standardContextual"/>
              </w:rPr>
              <w:t xml:space="preserve"> </w:t>
            </w:r>
            <w:r w:rsidRPr="00C37C95">
              <w:rPr>
                <w:rFonts w:ascii="David" w:eastAsia="Calibri" w:hAnsi="David" w:cs="David"/>
                <w:b/>
                <w:bCs/>
                <w:kern w:val="2"/>
                <w:sz w:val="23"/>
                <w:szCs w:val="23"/>
                <w:rtl/>
                <w14:ligatures w14:val="standardContextual"/>
              </w:rPr>
              <w:t>אב</w:t>
            </w:r>
            <w:r w:rsidRPr="00C37C95">
              <w:rPr>
                <w:rFonts w:ascii="David" w:eastAsia="Calibri" w:hAnsi="David" w:cs="David"/>
                <w:kern w:val="2"/>
                <w:sz w:val="23"/>
                <w:szCs w:val="23"/>
                <w:rtl/>
                <w14:ligatures w14:val="standardContextual"/>
              </w:rPr>
              <w:t xml:space="preserve"> משמעותו: משפחתנו הם</w:t>
            </w:r>
            <w:r w:rsidRPr="00C37C95">
              <w:rPr>
                <w:rFonts w:ascii="David" w:eastAsia="Calibri" w:hAnsi="David" w:cs="David"/>
                <w:b/>
                <w:bCs/>
                <w:kern w:val="2"/>
                <w:sz w:val="23"/>
                <w:szCs w:val="23"/>
                <w:rtl/>
                <w14:ligatures w14:val="standardContextual"/>
              </w:rPr>
              <w:t xml:space="preserve"> בני אלהים.</w:t>
            </w:r>
            <w:r w:rsidRPr="00C37C95">
              <w:rPr>
                <w:rFonts w:ascii="David" w:eastAsia="Calibri" w:hAnsi="David" w:cs="David"/>
                <w:kern w:val="2"/>
                <w:sz w:val="23"/>
                <w:szCs w:val="23"/>
                <w:rtl/>
                <w14:ligatures w14:val="standardContextual"/>
              </w:rPr>
              <w:t xml:space="preserve"> למילה אלהים בעברית יש גם משמעות של שליטים ושופטים, עיינו </w:t>
            </w:r>
            <w:proofErr w:type="spellStart"/>
            <w:r w:rsidRPr="00C37C95">
              <w:rPr>
                <w:rFonts w:ascii="David" w:eastAsia="Calibri" w:hAnsi="David" w:cs="David"/>
                <w:kern w:val="2"/>
                <w:sz w:val="23"/>
                <w:szCs w:val="23"/>
                <w:rtl/>
                <w14:ligatures w14:val="standardContextual"/>
              </w:rPr>
              <w:t>בסוגיא</w:t>
            </w:r>
            <w:proofErr w:type="spellEnd"/>
            <w:r w:rsidRPr="00C37C95">
              <w:rPr>
                <w:rFonts w:ascii="David" w:eastAsia="Calibri" w:hAnsi="David" w:cs="David"/>
                <w:kern w:val="2"/>
                <w:sz w:val="23"/>
                <w:szCs w:val="23"/>
                <w:rtl/>
                <w14:ligatures w14:val="standardContextual"/>
              </w:rPr>
              <w:t xml:space="preserve"> הקשה של בני </w:t>
            </w:r>
            <w:proofErr w:type="spellStart"/>
            <w:r w:rsidRPr="00C37C95">
              <w:rPr>
                <w:rFonts w:ascii="David" w:eastAsia="Calibri" w:hAnsi="David" w:cs="David"/>
                <w:kern w:val="2"/>
                <w:sz w:val="23"/>
                <w:szCs w:val="23"/>
                <w:rtl/>
                <w14:ligatures w14:val="standardContextual"/>
              </w:rPr>
              <w:t>האלהים</w:t>
            </w:r>
            <w:proofErr w:type="spellEnd"/>
            <w:r w:rsidRPr="00C37C95">
              <w:rPr>
                <w:rFonts w:ascii="David" w:eastAsia="Calibri" w:hAnsi="David" w:cs="David"/>
                <w:kern w:val="2"/>
                <w:sz w:val="23"/>
                <w:szCs w:val="23"/>
                <w:rtl/>
                <w14:ligatures w14:val="standardContextual"/>
              </w:rPr>
              <w:t xml:space="preserve"> בסיפור הבריאה </w:t>
            </w:r>
            <w:r w:rsidRPr="00C37C95">
              <w:rPr>
                <w:rFonts w:ascii="David" w:eastAsia="Calibri" w:hAnsi="David" w:cs="David"/>
                <w:kern w:val="2"/>
                <w:sz w:val="20"/>
                <w:szCs w:val="20"/>
                <w:rtl/>
                <w14:ligatures w14:val="standardContextual"/>
              </w:rPr>
              <w:t>(בראשית ו, ב-ד)</w:t>
            </w:r>
            <w:r w:rsidRPr="00C37C95">
              <w:rPr>
                <w:rFonts w:ascii="David" w:eastAsia="Calibri" w:hAnsi="David" w:cs="David"/>
                <w:kern w:val="2"/>
                <w:sz w:val="23"/>
                <w:szCs w:val="23"/>
                <w:rtl/>
                <w14:ligatures w14:val="standardContextual"/>
              </w:rPr>
              <w:t xml:space="preserve"> וברש"י שם "בני השרים והשופטים (גם ספר שופטים הוא ספרם של מנהיגים) כל אלהים שבמקרא לשון מרות".</w:t>
            </w:r>
          </w:p>
          <w:p w14:paraId="3E8794D6" w14:textId="77777777" w:rsidR="00C37C95" w:rsidRPr="00C37C95" w:rsidRDefault="00C37C95" w:rsidP="00C37C95">
            <w:pPr>
              <w:spacing w:line="252" w:lineRule="auto"/>
              <w:rPr>
                <w:rFonts w:ascii="David" w:eastAsia="Calibri" w:hAnsi="David" w:cs="David"/>
                <w:kern w:val="2"/>
                <w:sz w:val="20"/>
                <w:szCs w:val="20"/>
                <w:rtl/>
                <w14:ligatures w14:val="standardContextual"/>
              </w:rPr>
            </w:pPr>
            <w:r w:rsidRPr="00C37C95">
              <w:rPr>
                <w:rFonts w:ascii="David" w:eastAsia="Calibri" w:hAnsi="David" w:cs="David"/>
                <w:kern w:val="2"/>
                <w:sz w:val="23"/>
                <w:szCs w:val="23"/>
                <w:rtl/>
                <w14:ligatures w14:val="standardContextual"/>
              </w:rPr>
              <w:t xml:space="preserve">כשמשה חזר ממדיין למצרים וטען כי הקב"ה מינה אותו להיות מושיעם של ישראל, שינהיגם ויגאל אותם מהשעבוד, מיד התיצבו מולו דתן ואבירם - בני אליאב בן ראובן וטענו נגדו: סליחה "התבלבלת"! אנחנו המנהיגים - נכדיו של בכור הבכורות. לטענתם גם יעקב לא היה רשאי לשנות עובדה זו. וז"ל המדרש: "אחר ששה חדשים נגלה הקדוש ברוך הוא על משה במדין ואמר לו לך שוב מצרים, בא משה ממדין ואהרן ממצרים, ויפגעו בהן שוטרי ישראל כשהיו </w:t>
            </w:r>
            <w:proofErr w:type="spellStart"/>
            <w:r w:rsidRPr="00C37C95">
              <w:rPr>
                <w:rFonts w:ascii="David" w:eastAsia="Calibri" w:hAnsi="David" w:cs="David"/>
                <w:kern w:val="2"/>
                <w:sz w:val="23"/>
                <w:szCs w:val="23"/>
                <w:rtl/>
                <w14:ligatures w14:val="standardContextual"/>
              </w:rPr>
              <w:t>יוצאין</w:t>
            </w:r>
            <w:proofErr w:type="spellEnd"/>
            <w:r w:rsidRPr="00C37C95">
              <w:rPr>
                <w:rFonts w:ascii="David" w:eastAsia="Calibri" w:hAnsi="David" w:cs="David"/>
                <w:kern w:val="2"/>
                <w:sz w:val="23"/>
                <w:szCs w:val="23"/>
                <w:rtl/>
                <w14:ligatures w14:val="standardContextual"/>
              </w:rPr>
              <w:t xml:space="preserve"> מלפני פרעה, מהו נצבים, אמרו רבותינו ז"ל דתן ואבירם היו עמהן שכתוב בהן </w:t>
            </w:r>
            <w:r w:rsidRPr="00C37C95">
              <w:rPr>
                <w:rFonts w:ascii="David" w:eastAsia="Calibri" w:hAnsi="David" w:cs="David"/>
                <w:kern w:val="2"/>
                <w:sz w:val="20"/>
                <w:szCs w:val="20"/>
                <w:rtl/>
                <w14:ligatures w14:val="standardContextual"/>
              </w:rPr>
              <w:t xml:space="preserve">(במדבר </w:t>
            </w:r>
            <w:proofErr w:type="spellStart"/>
            <w:r w:rsidRPr="00C37C95">
              <w:rPr>
                <w:rFonts w:ascii="David" w:eastAsia="Calibri" w:hAnsi="David" w:cs="David"/>
                <w:kern w:val="2"/>
                <w:sz w:val="20"/>
                <w:szCs w:val="20"/>
                <w:rtl/>
                <w14:ligatures w14:val="standardContextual"/>
              </w:rPr>
              <w:t>טז</w:t>
            </w:r>
            <w:proofErr w:type="spellEnd"/>
            <w:r w:rsidRPr="00C37C95">
              <w:rPr>
                <w:rFonts w:ascii="David" w:eastAsia="Calibri" w:hAnsi="David" w:cs="David"/>
                <w:kern w:val="2"/>
                <w:sz w:val="20"/>
                <w:szCs w:val="20"/>
                <w:rtl/>
                <w14:ligatures w14:val="standardContextual"/>
              </w:rPr>
              <w:t xml:space="preserve">, </w:t>
            </w:r>
            <w:proofErr w:type="spellStart"/>
            <w:r w:rsidRPr="00C37C95">
              <w:rPr>
                <w:rFonts w:ascii="David" w:eastAsia="Calibri" w:hAnsi="David" w:cs="David"/>
                <w:kern w:val="2"/>
                <w:sz w:val="20"/>
                <w:szCs w:val="20"/>
                <w:rtl/>
                <w14:ligatures w14:val="standardContextual"/>
              </w:rPr>
              <w:t>כז</w:t>
            </w:r>
            <w:proofErr w:type="spellEnd"/>
            <w:r w:rsidRPr="00C37C95">
              <w:rPr>
                <w:rFonts w:ascii="David" w:eastAsia="Calibri" w:hAnsi="David" w:cs="David"/>
                <w:kern w:val="2"/>
                <w:sz w:val="20"/>
                <w:szCs w:val="20"/>
                <w:rtl/>
                <w14:ligatures w14:val="standardContextual"/>
              </w:rPr>
              <w:t>)</w:t>
            </w:r>
            <w:r w:rsidRPr="00C37C95">
              <w:rPr>
                <w:rFonts w:ascii="David" w:eastAsia="Calibri" w:hAnsi="David" w:cs="David"/>
                <w:kern w:val="2"/>
                <w:sz w:val="23"/>
                <w:szCs w:val="23"/>
                <w:rtl/>
                <w14:ligatures w14:val="standardContextual"/>
              </w:rPr>
              <w:t xml:space="preserve"> </w:t>
            </w:r>
            <w:r w:rsidRPr="00C37C95">
              <w:rPr>
                <w:rFonts w:ascii="FrankRuehl" w:eastAsia="Calibri" w:hAnsi="FrankRuehl" w:cs="FrankRuehl"/>
                <w:kern w:val="2"/>
                <w:rtl/>
                <w14:ligatures w14:val="standardContextual"/>
              </w:rPr>
              <w:t>"וְדָתָן וַאֲבִירָם יָצְאוּ נִצָּבִים"</w:t>
            </w:r>
            <w:r w:rsidRPr="00C37C95">
              <w:rPr>
                <w:rFonts w:ascii="David" w:eastAsia="Calibri" w:hAnsi="David" w:cs="David"/>
                <w:kern w:val="2"/>
                <w:sz w:val="23"/>
                <w:szCs w:val="23"/>
                <w:rtl/>
                <w14:ligatures w14:val="standardContextual"/>
              </w:rPr>
              <w:t xml:space="preserve">, התחילו </w:t>
            </w:r>
            <w:proofErr w:type="spellStart"/>
            <w:r w:rsidRPr="00C37C95">
              <w:rPr>
                <w:rFonts w:ascii="David" w:eastAsia="Calibri" w:hAnsi="David" w:cs="David"/>
                <w:kern w:val="2"/>
                <w:sz w:val="23"/>
                <w:szCs w:val="23"/>
                <w:rtl/>
                <w14:ligatures w14:val="standardContextual"/>
              </w:rPr>
              <w:t>מחרפין</w:t>
            </w:r>
            <w:proofErr w:type="spellEnd"/>
            <w:r w:rsidRPr="00C37C95">
              <w:rPr>
                <w:rFonts w:ascii="David" w:eastAsia="Calibri" w:hAnsi="David" w:cs="David"/>
                <w:kern w:val="2"/>
                <w:sz w:val="23"/>
                <w:szCs w:val="23"/>
                <w:rtl/>
                <w14:ligatures w14:val="standardContextual"/>
              </w:rPr>
              <w:t xml:space="preserve"> </w:t>
            </w:r>
            <w:proofErr w:type="spellStart"/>
            <w:r w:rsidRPr="00C37C95">
              <w:rPr>
                <w:rFonts w:ascii="David" w:eastAsia="Calibri" w:hAnsi="David" w:cs="David"/>
                <w:kern w:val="2"/>
                <w:sz w:val="23"/>
                <w:szCs w:val="23"/>
                <w:rtl/>
                <w14:ligatures w14:val="standardContextual"/>
              </w:rPr>
              <w:t>ומגדפין</w:t>
            </w:r>
            <w:proofErr w:type="spellEnd"/>
            <w:r w:rsidRPr="00C37C95">
              <w:rPr>
                <w:rFonts w:ascii="David" w:eastAsia="Calibri" w:hAnsi="David" w:cs="David"/>
                <w:kern w:val="2"/>
                <w:sz w:val="23"/>
                <w:szCs w:val="23"/>
                <w:rtl/>
                <w14:ligatures w14:val="standardContextual"/>
              </w:rPr>
              <w:t xml:space="preserve"> כלפי משה ואהרן" </w:t>
            </w:r>
            <w:r w:rsidRPr="00C37C95">
              <w:rPr>
                <w:rFonts w:ascii="David" w:eastAsia="Calibri" w:hAnsi="David" w:cs="David"/>
                <w:kern w:val="2"/>
                <w:sz w:val="20"/>
                <w:szCs w:val="20"/>
                <w:rtl/>
                <w14:ligatures w14:val="standardContextual"/>
              </w:rPr>
              <w:t>(שמות רבה פרשת שמות פרשה ה).</w:t>
            </w:r>
          </w:p>
          <w:p w14:paraId="72659F65" w14:textId="77777777" w:rsidR="00C37C95" w:rsidRPr="00C37C95" w:rsidRDefault="00C37C95" w:rsidP="00C37C95">
            <w:pPr>
              <w:spacing w:line="252" w:lineRule="auto"/>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נביא דוגמא נוספת וקרובה. בימי גדעון נזכר אחד הניסיונות המוקדמים לכונן מלכות בישראל, כמופיע במשל יותם המפורסם: </w:t>
            </w:r>
            <w:r w:rsidRPr="00C37C95">
              <w:rPr>
                <w:rFonts w:ascii="FrankRuehl" w:eastAsia="Calibri" w:hAnsi="FrankRuehl" w:cs="FrankRuehl"/>
                <w:kern w:val="2"/>
                <w:rtl/>
                <w14:ligatures w14:val="standardContextual"/>
              </w:rPr>
              <w:t xml:space="preserve">"הָלוֹךְ הָלְכוּ הָעֵצִים </w:t>
            </w:r>
            <w:proofErr w:type="spellStart"/>
            <w:r w:rsidRPr="00C37C95">
              <w:rPr>
                <w:rFonts w:ascii="FrankRuehl" w:eastAsia="Calibri" w:hAnsi="FrankRuehl" w:cs="FrankRuehl"/>
                <w:kern w:val="2"/>
                <w:rtl/>
                <w14:ligatures w14:val="standardContextual"/>
              </w:rPr>
              <w:t>לִמְשֹׁח</w:t>
            </w:r>
            <w:proofErr w:type="spellEnd"/>
            <w:r w:rsidRPr="00C37C95">
              <w:rPr>
                <w:rFonts w:ascii="FrankRuehl" w:eastAsia="Calibri" w:hAnsi="FrankRuehl" w:cs="FrankRuehl"/>
                <w:kern w:val="2"/>
                <w:rtl/>
                <w14:ligatures w14:val="standardContextual"/>
              </w:rPr>
              <w:t xml:space="preserve">ַ עֲלֵיהֶם מֶלֶךְ" </w:t>
            </w:r>
            <w:r w:rsidRPr="00C37C95">
              <w:rPr>
                <w:rFonts w:ascii="David" w:eastAsia="Calibri" w:hAnsi="David" w:cs="David"/>
                <w:kern w:val="2"/>
                <w:sz w:val="20"/>
                <w:szCs w:val="20"/>
                <w:rtl/>
                <w14:ligatures w14:val="standardContextual"/>
              </w:rPr>
              <w:t>(שופטים ט' ח).</w:t>
            </w:r>
            <w:r w:rsidRPr="00C37C95">
              <w:rPr>
                <w:rFonts w:ascii="David" w:eastAsia="Calibri" w:hAnsi="David" w:cs="David"/>
                <w:kern w:val="2"/>
                <w:sz w:val="23"/>
                <w:szCs w:val="23"/>
                <w:rtl/>
                <w14:ligatures w14:val="standardContextual"/>
              </w:rPr>
              <w:t xml:space="preserve"> גדעון בשלב ראשון סרב לקבל על עצמו תואר זה. לעומת זאת, בנו החליט, שאיש לא יחסום את דרכו לתפוש את ההנהגה-המלכות בלי מעצורים. לכן, עם מותו של גדעון, נקט אבימלך בצעד הנורא הבא: </w:t>
            </w:r>
            <w:r w:rsidRPr="00C37C95">
              <w:rPr>
                <w:rFonts w:ascii="FrankRuehl" w:eastAsia="Calibri" w:hAnsi="FrankRuehl" w:cs="FrankRuehl"/>
                <w:kern w:val="2"/>
                <w:rtl/>
                <w14:ligatures w14:val="standardContextual"/>
              </w:rPr>
              <w:t xml:space="preserve">"וַיָּבֹא בֵית אָבִיו </w:t>
            </w:r>
            <w:proofErr w:type="spellStart"/>
            <w:r w:rsidRPr="00C37C95">
              <w:rPr>
                <w:rFonts w:ascii="FrankRuehl" w:eastAsia="Calibri" w:hAnsi="FrankRuehl" w:cs="FrankRuehl"/>
                <w:kern w:val="2"/>
                <w:rtl/>
                <w14:ligatures w14:val="standardContextual"/>
              </w:rPr>
              <w:t>עָפְרָתָה</w:t>
            </w:r>
            <w:proofErr w:type="spellEnd"/>
            <w:r w:rsidRPr="00C37C95">
              <w:rPr>
                <w:rFonts w:ascii="FrankRuehl" w:eastAsia="Calibri" w:hAnsi="FrankRuehl" w:cs="FrankRuehl"/>
                <w:kern w:val="2"/>
                <w:rtl/>
                <w14:ligatures w14:val="standardContextual"/>
              </w:rPr>
              <w:t xml:space="preserve"> </w:t>
            </w:r>
            <w:proofErr w:type="spellStart"/>
            <w:r w:rsidRPr="00C37C95">
              <w:rPr>
                <w:rFonts w:ascii="FrankRuehl" w:eastAsia="Calibri" w:hAnsi="FrankRuehl" w:cs="FrankRuehl"/>
                <w:kern w:val="2"/>
                <w:rtl/>
                <w14:ligatures w14:val="standardContextual"/>
              </w:rPr>
              <w:t>וַיַּהֲרֹג</w:t>
            </w:r>
            <w:proofErr w:type="spellEnd"/>
            <w:r w:rsidRPr="00C37C95">
              <w:rPr>
                <w:rFonts w:ascii="FrankRuehl" w:eastAsia="Calibri" w:hAnsi="FrankRuehl" w:cs="FrankRuehl"/>
                <w:kern w:val="2"/>
                <w:rtl/>
                <w14:ligatures w14:val="standardContextual"/>
              </w:rPr>
              <w:t xml:space="preserve"> אֶת אֶחָיו בְּנֵי </w:t>
            </w:r>
            <w:proofErr w:type="spellStart"/>
            <w:r w:rsidRPr="00C37C95">
              <w:rPr>
                <w:rFonts w:ascii="FrankRuehl" w:eastAsia="Calibri" w:hAnsi="FrankRuehl" w:cs="FrankRuehl"/>
                <w:kern w:val="2"/>
                <w:rtl/>
                <w14:ligatures w14:val="standardContextual"/>
              </w:rPr>
              <w:t>יְרֻבַּעַל</w:t>
            </w:r>
            <w:proofErr w:type="spellEnd"/>
            <w:r w:rsidRPr="00C37C95">
              <w:rPr>
                <w:rFonts w:ascii="FrankRuehl" w:eastAsia="Calibri" w:hAnsi="FrankRuehl" w:cs="FrankRuehl"/>
                <w:kern w:val="2"/>
                <w:rtl/>
                <w14:ligatures w14:val="standardContextual"/>
              </w:rPr>
              <w:t xml:space="preserve"> שִׁבְעִים אִישׁ" </w:t>
            </w:r>
            <w:r w:rsidRPr="00C37C95">
              <w:rPr>
                <w:rFonts w:ascii="David" w:eastAsia="Calibri" w:hAnsi="David" w:cs="David"/>
                <w:kern w:val="2"/>
                <w:sz w:val="20"/>
                <w:szCs w:val="20"/>
                <w:rtl/>
                <w14:ligatures w14:val="standardContextual"/>
              </w:rPr>
              <w:t>(שם, שם ה).</w:t>
            </w:r>
            <w:r w:rsidRPr="00C37C95">
              <w:rPr>
                <w:rFonts w:ascii="David" w:eastAsia="Calibri" w:hAnsi="David" w:cs="David"/>
                <w:kern w:val="2"/>
                <w:sz w:val="23"/>
                <w:szCs w:val="23"/>
                <w:rtl/>
                <w14:ligatures w14:val="standardContextual"/>
              </w:rPr>
              <w:t xml:space="preserve"> מיד אח"כ משחו את אבימלך למלכות. גם שמו יתבאר בדרך הבאה </w:t>
            </w:r>
            <w:r w:rsidRPr="00C37C95">
              <w:rPr>
                <w:rFonts w:ascii="David" w:eastAsia="Calibri" w:hAnsi="David" w:cs="David"/>
                <w:b/>
                <w:bCs/>
                <w:kern w:val="2"/>
                <w:sz w:val="23"/>
                <w:szCs w:val="23"/>
                <w:rtl/>
                <w14:ligatures w14:val="standardContextual"/>
              </w:rPr>
              <w:t>אבימלך</w:t>
            </w:r>
            <w:r w:rsidRPr="00C37C95">
              <w:rPr>
                <w:rFonts w:ascii="David" w:eastAsia="Calibri" w:hAnsi="David" w:cs="David"/>
                <w:kern w:val="2"/>
                <w:sz w:val="23"/>
                <w:szCs w:val="23"/>
                <w:rtl/>
                <w14:ligatures w14:val="standardContextual"/>
              </w:rPr>
              <w:t>= אבי היה מלך, וגם אני אהיה אביו של המלך הבא.</w:t>
            </w:r>
          </w:p>
          <w:p w14:paraId="346DFBC8" w14:textId="77777777" w:rsidR="00C37C95" w:rsidRDefault="00C37C95" w:rsidP="00C37C95">
            <w:pPr>
              <w:spacing w:line="252" w:lineRule="auto"/>
              <w:jc w:val="center"/>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אבירם וגם אבימלך שכחו את הכלל היסודי, מלכות מקבלים ולא לוקחים, </w:t>
            </w:r>
          </w:p>
          <w:p w14:paraId="0C7E53DA" w14:textId="65637AE1" w:rsidR="00C37C95" w:rsidRDefault="00C37C95" w:rsidP="00C37C95">
            <w:pPr>
              <w:spacing w:line="252" w:lineRule="auto"/>
              <w:jc w:val="center"/>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בוודאי שלא לוקחים אותה תוך מחלוקת עם משה רבינו, או באמצעות רצח ופגיעה באחים.</w:t>
            </w:r>
            <w:r>
              <w:rPr>
                <w:rFonts w:ascii="David" w:eastAsia="Calibri" w:hAnsi="David" w:cs="David" w:hint="cs"/>
                <w:kern w:val="2"/>
                <w:sz w:val="23"/>
                <w:szCs w:val="23"/>
                <w:rtl/>
                <w14:ligatures w14:val="standardContextual"/>
              </w:rPr>
              <w:t xml:space="preserve"> </w:t>
            </w:r>
          </w:p>
          <w:p w14:paraId="602D759D" w14:textId="77777777" w:rsidR="00C37C95" w:rsidRDefault="00C37C95" w:rsidP="00C37C95">
            <w:pPr>
              <w:spacing w:line="252" w:lineRule="auto"/>
              <w:jc w:val="center"/>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 xml:space="preserve">הבה נתפלל כי כל הכרעה במחלוקת בנושא השלטון וההנהגה במדינת ישראל, תתקבל אך ורק מתוך תהליך של הידברות, </w:t>
            </w:r>
          </w:p>
          <w:p w14:paraId="68F4B66B" w14:textId="36A12C4E" w:rsidR="00C37C95" w:rsidRPr="00C37C95" w:rsidRDefault="00C37C95" w:rsidP="00C37C95">
            <w:pPr>
              <w:spacing w:line="252" w:lineRule="auto"/>
              <w:jc w:val="center"/>
              <w:rPr>
                <w:rFonts w:ascii="David" w:eastAsia="Calibri" w:hAnsi="David" w:cs="David"/>
                <w:kern w:val="2"/>
                <w:sz w:val="23"/>
                <w:szCs w:val="23"/>
                <w:rtl/>
                <w14:ligatures w14:val="standardContextual"/>
              </w:rPr>
            </w:pPr>
            <w:r w:rsidRPr="00C37C95">
              <w:rPr>
                <w:rFonts w:ascii="David" w:eastAsia="Calibri" w:hAnsi="David" w:cs="David"/>
                <w:kern w:val="2"/>
                <w:sz w:val="23"/>
                <w:szCs w:val="23"/>
                <w:rtl/>
                <w14:ligatures w14:val="standardContextual"/>
              </w:rPr>
              <w:t>בדרכי נעם, כמו שאמורה לנהל מחלוקת. נהיה תלמידי משה, הנצמדים לתורת משה, נושאים בעול ומכבדים זה את זה.</w:t>
            </w:r>
          </w:p>
          <w:p w14:paraId="1E95AB0B" w14:textId="25FDCE52" w:rsidR="00C37C95" w:rsidRPr="00C37C95" w:rsidRDefault="00C37C95" w:rsidP="00C37C95">
            <w:pPr>
              <w:spacing w:line="252" w:lineRule="auto"/>
              <w:jc w:val="center"/>
              <w:rPr>
                <w:rFonts w:ascii="David" w:eastAsia="Calibri" w:hAnsi="David" w:cs="David"/>
                <w:b/>
                <w:bCs/>
                <w:kern w:val="2"/>
                <w:sz w:val="23"/>
                <w:szCs w:val="23"/>
                <w14:ligatures w14:val="standardContextual"/>
              </w:rPr>
            </w:pPr>
            <w:r w:rsidRPr="00C37C95">
              <w:rPr>
                <w:rFonts w:ascii="David" w:eastAsia="Calibri" w:hAnsi="David" w:cs="David"/>
                <w:b/>
                <w:bCs/>
                <w:kern w:val="2"/>
                <w:sz w:val="23"/>
                <w:szCs w:val="23"/>
                <w:rtl/>
                <w14:ligatures w14:val="standardContextual"/>
              </w:rPr>
              <w:t>דתן ואבירם, לא! משה - העניו מכל אדם, כן!</w:t>
            </w:r>
          </w:p>
          <w:p w14:paraId="1EAD783B" w14:textId="70C0FF73" w:rsidR="00EF15C8" w:rsidRPr="00C37C95" w:rsidRDefault="00EF15C8" w:rsidP="00EF15C8">
            <w:pPr>
              <w:rPr>
                <w:sz w:val="10"/>
                <w:szCs w:val="10"/>
              </w:rPr>
            </w:pPr>
          </w:p>
          <w:p w14:paraId="5F773BFF" w14:textId="75234814" w:rsidR="009C1995" w:rsidRDefault="008E207D" w:rsidP="00D51BFC">
            <w:pPr>
              <w:spacing w:line="360" w:lineRule="auto"/>
              <w:jc w:val="center"/>
              <w:rPr>
                <w:rtl/>
              </w:rPr>
            </w:pPr>
            <w:r w:rsidRPr="00E57C46">
              <w:rPr>
                <w:rFonts w:ascii="David" w:hAnsi="David" w:cs="David"/>
                <w:noProof/>
                <w:color w:val="0000FF"/>
                <w:rtl/>
              </w:rPr>
              <w:t>(</w:t>
            </w:r>
            <w:hyperlink r:id="rId12"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7D347D3" w:rsidR="00D51BFC" w:rsidRPr="009F5FF5" w:rsidRDefault="00D51BFC" w:rsidP="00D51BFC">
            <w:pPr>
              <w:spacing w:line="360" w:lineRule="auto"/>
              <w:jc w:val="center"/>
              <w:rPr>
                <w:rFonts w:ascii="David" w:hAnsi="David" w:cs="David"/>
                <w:color w:val="0000FF"/>
                <w:sz w:val="8"/>
                <w:szCs w:val="8"/>
                <w:u w:val="single"/>
                <w:rtl/>
              </w:rPr>
            </w:pPr>
          </w:p>
        </w:tc>
      </w:tr>
    </w:tbl>
    <w:bookmarkEnd w:id="1"/>
    <w:p w14:paraId="4D640159" w14:textId="04CF4021" w:rsidR="007B7A4E" w:rsidRPr="00CD712C" w:rsidRDefault="00C37C95"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3A5B85EB">
            <wp:simplePos x="0" y="0"/>
            <wp:positionH relativeFrom="margin">
              <wp:posOffset>-251460</wp:posOffset>
            </wp:positionH>
            <wp:positionV relativeFrom="paragraph">
              <wp:posOffset>7385685</wp:posOffset>
            </wp:positionV>
            <wp:extent cx="7513320" cy="2162175"/>
            <wp:effectExtent l="0" t="0" r="0" b="952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13320" cy="2162175"/>
                    </a:xfrm>
                    <a:prstGeom prst="rect">
                      <a:avLst/>
                    </a:prstGeom>
                    <a:noFill/>
                  </pic:spPr>
                </pic:pic>
              </a:graphicData>
            </a:graphic>
            <wp14:sizeRelH relativeFrom="page">
              <wp14:pctWidth>0</wp14:pctWidth>
            </wp14:sizeRelH>
            <wp14:sizeRelV relativeFrom="page">
              <wp14:pctHeight>0</wp14:pctHeight>
            </wp14:sizeRelV>
          </wp:anchor>
        </w:drawing>
      </w:r>
    </w:p>
    <w:p w14:paraId="4BBF26B7" w14:textId="1B4DBE6B" w:rsidR="005C57F1" w:rsidRPr="005C57F1" w:rsidRDefault="005C57F1" w:rsidP="00D51BFC">
      <w:pPr>
        <w:contextualSpacing/>
        <w:rPr>
          <w:rFonts w:ascii="Arial" w:eastAsia="Calibri" w:hAnsi="Arial" w:cs="Arial"/>
          <w:b/>
          <w:bCs/>
          <w:color w:val="C00000"/>
          <w:sz w:val="10"/>
          <w:szCs w:val="10"/>
          <w:rtl/>
        </w:rPr>
      </w:pPr>
    </w:p>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39"/>
        <w:gridCol w:w="156"/>
        <w:gridCol w:w="553"/>
        <w:gridCol w:w="846"/>
        <w:gridCol w:w="148"/>
        <w:gridCol w:w="430"/>
        <w:gridCol w:w="149"/>
        <w:gridCol w:w="553"/>
        <w:gridCol w:w="18"/>
        <w:gridCol w:w="268"/>
        <w:gridCol w:w="10"/>
        <w:gridCol w:w="703"/>
        <w:gridCol w:w="279"/>
        <w:gridCol w:w="1427"/>
        <w:gridCol w:w="271"/>
        <w:gridCol w:w="144"/>
        <w:gridCol w:w="1145"/>
        <w:gridCol w:w="1265"/>
        <w:gridCol w:w="148"/>
        <w:gridCol w:w="293"/>
      </w:tblGrid>
      <w:tr w:rsidR="009C178E" w:rsidRPr="00A6414A" w14:paraId="2DCEE898" w14:textId="77777777" w:rsidTr="003D2181">
        <w:trPr>
          <w:trHeight w:val="273"/>
        </w:trPr>
        <w:tc>
          <w:tcPr>
            <w:tcW w:w="3792" w:type="dxa"/>
            <w:gridSpan w:val="6"/>
            <w:tcMar>
              <w:top w:w="0" w:type="dxa"/>
              <w:left w:w="108" w:type="dxa"/>
              <w:bottom w:w="0" w:type="dxa"/>
              <w:right w:w="108" w:type="dxa"/>
            </w:tcMar>
            <w:vAlign w:val="center"/>
          </w:tcPr>
          <w:p w14:paraId="4BD4BC42" w14:textId="04173D9C" w:rsidR="009C178E" w:rsidRPr="00A6414A" w:rsidRDefault="009C178E" w:rsidP="00A673C8">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A673C8">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A673C8">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7"/>
            <w:vAlign w:val="center"/>
          </w:tcPr>
          <w:p w14:paraId="013372FC" w14:textId="77777777" w:rsidR="009C178E" w:rsidRPr="00A6414A" w:rsidRDefault="009C178E" w:rsidP="00A673C8">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3D2181">
        <w:trPr>
          <w:trHeight w:val="273"/>
        </w:trPr>
        <w:tc>
          <w:tcPr>
            <w:tcW w:w="1816" w:type="dxa"/>
            <w:tcMar>
              <w:top w:w="0" w:type="dxa"/>
              <w:left w:w="108" w:type="dxa"/>
              <w:bottom w:w="0" w:type="dxa"/>
              <w:right w:w="108" w:type="dxa"/>
            </w:tcMar>
            <w:vAlign w:val="center"/>
          </w:tcPr>
          <w:p w14:paraId="75BDC7CA" w14:textId="77777777" w:rsidR="009C178E" w:rsidRPr="00A6414A" w:rsidRDefault="009C178E" w:rsidP="00A673C8">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666AFDCE" w:rsidR="009C178E" w:rsidRPr="00A6414A" w:rsidRDefault="009C178E" w:rsidP="00A673C8">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5"/>
            <w:vAlign w:val="center"/>
          </w:tcPr>
          <w:p w14:paraId="2CF4612E" w14:textId="77777777" w:rsidR="009C178E" w:rsidRPr="00A6414A" w:rsidRDefault="009C178E" w:rsidP="00A673C8">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A673C8">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2"/>
            <w:vAlign w:val="center"/>
          </w:tcPr>
          <w:p w14:paraId="762A3FF4"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3"/>
            <w:vAlign w:val="center"/>
          </w:tcPr>
          <w:p w14:paraId="4CA80065"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A673C8">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3D2181">
        <w:trPr>
          <w:trHeight w:val="427"/>
        </w:trPr>
        <w:tc>
          <w:tcPr>
            <w:tcW w:w="2237" w:type="dxa"/>
            <w:gridSpan w:val="3"/>
            <w:tcMar>
              <w:top w:w="0" w:type="dxa"/>
              <w:left w:w="108" w:type="dxa"/>
              <w:bottom w:w="0" w:type="dxa"/>
              <w:right w:w="108" w:type="dxa"/>
            </w:tcMar>
            <w:vAlign w:val="center"/>
            <w:hideMark/>
          </w:tcPr>
          <w:p w14:paraId="559E6711" w14:textId="7B438CFF" w:rsidR="009C178E" w:rsidRPr="00A6414A" w:rsidRDefault="009C178E" w:rsidP="00A673C8">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A673C8">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A673C8">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8"/>
            <w:vAlign w:val="center"/>
            <w:hideMark/>
          </w:tcPr>
          <w:p w14:paraId="0090ED7A" w14:textId="77777777" w:rsidR="009C178E" w:rsidRPr="00A6414A" w:rsidRDefault="009C178E" w:rsidP="00A673C8">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6"/>
            <w:tcMar>
              <w:top w:w="0" w:type="dxa"/>
              <w:left w:w="108" w:type="dxa"/>
              <w:bottom w:w="0" w:type="dxa"/>
              <w:right w:w="108" w:type="dxa"/>
            </w:tcMar>
            <w:vAlign w:val="center"/>
          </w:tcPr>
          <w:p w14:paraId="5021826C" w14:textId="77777777" w:rsidR="009C178E" w:rsidRPr="00A6414A" w:rsidRDefault="009C178E" w:rsidP="00A673C8">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3D2181">
        <w:trPr>
          <w:trHeight w:val="431"/>
        </w:trPr>
        <w:tc>
          <w:tcPr>
            <w:tcW w:w="2098" w:type="dxa"/>
            <w:gridSpan w:val="2"/>
            <w:tcMar>
              <w:top w:w="0" w:type="dxa"/>
              <w:left w:w="108" w:type="dxa"/>
              <w:bottom w:w="0" w:type="dxa"/>
              <w:right w:w="108" w:type="dxa"/>
            </w:tcMar>
            <w:vAlign w:val="center"/>
          </w:tcPr>
          <w:p w14:paraId="584E5880" w14:textId="264253F6"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A673C8">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A673C8">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A673C8">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A673C8">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4"/>
            <w:tcMar>
              <w:top w:w="0" w:type="dxa"/>
              <w:left w:w="108" w:type="dxa"/>
              <w:bottom w:w="0" w:type="dxa"/>
              <w:right w:w="108" w:type="dxa"/>
            </w:tcMar>
            <w:vAlign w:val="center"/>
          </w:tcPr>
          <w:p w14:paraId="14ACFE87"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3D2181">
        <w:trPr>
          <w:trHeight w:val="453"/>
        </w:trPr>
        <w:tc>
          <w:tcPr>
            <w:tcW w:w="2946" w:type="dxa"/>
            <w:gridSpan w:val="5"/>
            <w:vAlign w:val="center"/>
            <w:hideMark/>
          </w:tcPr>
          <w:p w14:paraId="3530C4B7" w14:textId="1FE8AC6A" w:rsidR="009C178E" w:rsidRPr="00035272" w:rsidRDefault="009C178E" w:rsidP="00A673C8">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A673C8">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A673C8">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5"/>
            <w:vAlign w:val="center"/>
          </w:tcPr>
          <w:p w14:paraId="4426683E" w14:textId="77777777" w:rsidR="009C178E" w:rsidRPr="00A6414A" w:rsidRDefault="009C178E" w:rsidP="00A673C8">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A673C8">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A673C8">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A673C8">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5"/>
            <w:vAlign w:val="center"/>
          </w:tcPr>
          <w:p w14:paraId="023FD8DE" w14:textId="77777777" w:rsidR="009C178E" w:rsidRPr="00035272" w:rsidRDefault="009C178E" w:rsidP="00A673C8">
            <w:pPr>
              <w:contextualSpacing/>
              <w:jc w:val="center"/>
              <w:rPr>
                <w:rFonts w:ascii="David" w:eastAsia="Calibri" w:hAnsi="David" w:cs="David"/>
                <w:b/>
                <w:bCs/>
                <w:color w:val="002060"/>
                <w:sz w:val="6"/>
                <w:szCs w:val="6"/>
                <w:rtl/>
              </w:rPr>
            </w:pPr>
          </w:p>
          <w:p w14:paraId="666F6FD3" w14:textId="77777777" w:rsidR="009C178E" w:rsidRDefault="009C178E" w:rsidP="00A673C8">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A673C8">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A673C8">
            <w:pPr>
              <w:ind w:left="59" w:right="72"/>
              <w:jc w:val="center"/>
              <w:rPr>
                <w:rFonts w:ascii="Arial" w:hAnsi="Arial" w:cs="David"/>
                <w:sz w:val="19"/>
                <w:szCs w:val="19"/>
                <w:rtl/>
              </w:rPr>
            </w:pPr>
          </w:p>
        </w:tc>
      </w:tr>
      <w:tr w:rsidR="009C178E" w:rsidRPr="00A6414A" w14:paraId="536256E1" w14:textId="77777777" w:rsidTr="003D2181">
        <w:trPr>
          <w:trHeight w:val="404"/>
        </w:trPr>
        <w:tc>
          <w:tcPr>
            <w:tcW w:w="2393" w:type="dxa"/>
            <w:gridSpan w:val="4"/>
            <w:vAlign w:val="center"/>
          </w:tcPr>
          <w:p w14:paraId="4F5957C8" w14:textId="4DAAC56C" w:rsidR="009C178E" w:rsidRPr="00A6414A" w:rsidRDefault="009C178E" w:rsidP="00A673C8">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A673C8">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126" w:type="dxa"/>
            <w:gridSpan w:val="5"/>
            <w:vAlign w:val="center"/>
          </w:tcPr>
          <w:p w14:paraId="7EFE4108" w14:textId="77777777" w:rsidR="009C178E" w:rsidRPr="00A6414A" w:rsidRDefault="009C178E" w:rsidP="00A673C8">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A673C8">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571" w:type="dxa"/>
            <w:gridSpan w:val="2"/>
            <w:vAlign w:val="center"/>
          </w:tcPr>
          <w:p w14:paraId="5ADB21BC" w14:textId="740AAC24" w:rsidR="009C178E" w:rsidRPr="00A6414A" w:rsidRDefault="009C178E" w:rsidP="00A673C8">
            <w:pPr>
              <w:ind w:left="59" w:right="72"/>
              <w:contextualSpacing/>
              <w:jc w:val="center"/>
              <w:rPr>
                <w:rFonts w:ascii="Arial" w:hAnsi="Arial" w:cs="David"/>
                <w:color w:val="000000"/>
                <w:sz w:val="19"/>
                <w:szCs w:val="19"/>
                <w:rtl/>
              </w:rPr>
            </w:pPr>
          </w:p>
        </w:tc>
        <w:tc>
          <w:tcPr>
            <w:tcW w:w="278" w:type="dxa"/>
            <w:gridSpan w:val="2"/>
            <w:vAlign w:val="center"/>
          </w:tcPr>
          <w:p w14:paraId="50DBF29F" w14:textId="1DDF94BE" w:rsidR="009C178E" w:rsidRPr="00D85D31" w:rsidRDefault="009C178E" w:rsidP="00A673C8">
            <w:pPr>
              <w:contextualSpacing/>
              <w:jc w:val="center"/>
              <w:rPr>
                <w:rFonts w:ascii="David" w:eastAsia="Calibri" w:hAnsi="David" w:cs="David"/>
                <w:b/>
                <w:bCs/>
                <w:color w:val="002060"/>
                <w:sz w:val="19"/>
                <w:szCs w:val="19"/>
                <w:rtl/>
              </w:rPr>
            </w:pPr>
          </w:p>
        </w:tc>
        <w:tc>
          <w:tcPr>
            <w:tcW w:w="2409" w:type="dxa"/>
            <w:gridSpan w:val="3"/>
            <w:vAlign w:val="center"/>
          </w:tcPr>
          <w:p w14:paraId="587AD19F" w14:textId="77777777" w:rsidR="003D2181" w:rsidRPr="00A6414A" w:rsidRDefault="003D2181" w:rsidP="003D218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9C178E" w:rsidRPr="00B24119" w:rsidRDefault="003D2181" w:rsidP="003D218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825" w:type="dxa"/>
            <w:gridSpan w:val="4"/>
            <w:vAlign w:val="center"/>
          </w:tcPr>
          <w:p w14:paraId="739B31D2" w14:textId="77777777" w:rsidR="009C178E" w:rsidRPr="00A6414A" w:rsidRDefault="009C178E" w:rsidP="00A673C8">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A673C8">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A673C8">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9C178E" w:rsidRPr="00A6414A" w:rsidRDefault="009C178E" w:rsidP="00A673C8">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AE40A9" w:rsidP="00F33428">
      <w:pPr>
        <w:pStyle w:val="aff7"/>
        <w:spacing w:after="0" w:line="240" w:lineRule="auto"/>
        <w:ind w:left="0"/>
        <w:jc w:val="center"/>
        <w:rPr>
          <w:rStyle w:val="Hyperlink"/>
          <w:rFonts w:ascii="FrankRuehl" w:eastAsia="Calibri" w:hAnsi="FrankRuehl" w:cs="FrankRuehl"/>
          <w:sz w:val="17"/>
          <w:szCs w:val="17"/>
          <w:rtl/>
        </w:rPr>
      </w:pPr>
      <w:hyperlink r:id="rId14"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5" w:history="1">
        <w:r w:rsidR="00AF0507" w:rsidRPr="00CD712C">
          <w:rPr>
            <w:rStyle w:val="Hyperlink"/>
            <w:rFonts w:ascii="FrankRuehl" w:eastAsia="Calibri" w:hAnsi="FrankRuehl" w:cs="FrankRuehl"/>
            <w:sz w:val="17"/>
            <w:szCs w:val="17"/>
          </w:rPr>
          <w:t>WWW.ERETZHEMDAH.ORG</w:t>
        </w:r>
      </w:hyperlink>
    </w:p>
    <w:p w14:paraId="6329662D" w14:textId="2907C0AA" w:rsidR="00F56133" w:rsidRDefault="00020B5C" w:rsidP="00020B5C">
      <w:pPr>
        <w:contextualSpacing/>
        <w:rPr>
          <w:rFonts w:ascii="Calibri" w:eastAsia="Calibri" w:hAnsi="Calibri" w:cs="David"/>
          <w:b/>
          <w:bCs/>
          <w:sz w:val="28"/>
          <w:szCs w:val="28"/>
          <w:rtl/>
        </w:rPr>
      </w:pPr>
      <w:r>
        <w:rPr>
          <w:noProof/>
          <w:rtl/>
          <w:lang w:val="he-IL"/>
        </w:rPr>
        <w:lastRenderedPageBreak/>
        <w:drawing>
          <wp:inline distT="0" distB="0" distL="0" distR="0" wp14:anchorId="79D5C233" wp14:editId="18881059">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50F85D8A"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5F29A1" w:rsidRDefault="001953F7" w:rsidP="002D608A">
      <w:pPr>
        <w:contextualSpacing/>
        <w:rPr>
          <w:rFonts w:ascii="David" w:eastAsia="Calibri" w:hAnsi="David" w:cs="David"/>
          <w:sz w:val="16"/>
          <w:szCs w:val="16"/>
          <w:rtl/>
        </w:rPr>
      </w:pPr>
    </w:p>
    <w:p w14:paraId="5FC1E53D" w14:textId="77777777" w:rsidR="00AE40A9" w:rsidRPr="00AE40A9" w:rsidRDefault="00AE40A9" w:rsidP="00AE40A9">
      <w:pPr>
        <w:keepNext/>
        <w:keepLines/>
        <w:contextualSpacing/>
        <w:outlineLvl w:val="0"/>
        <w:rPr>
          <w:rFonts w:ascii="David" w:hAnsi="David" w:cs="David"/>
          <w:b/>
          <w:bCs/>
          <w:color w:val="0070C0"/>
          <w:sz w:val="32"/>
          <w:szCs w:val="32"/>
          <w:rtl/>
        </w:rPr>
      </w:pPr>
      <w:bookmarkStart w:id="4" w:name="_Hlk208479624"/>
      <w:bookmarkStart w:id="5" w:name="_Hlk208479582"/>
      <w:r w:rsidRPr="00AE40A9">
        <w:rPr>
          <w:rFonts w:ascii="David" w:hAnsi="David" w:cs="David"/>
          <w:b/>
          <w:bCs/>
          <w:color w:val="0070C0"/>
          <w:sz w:val="32"/>
          <w:szCs w:val="32"/>
          <w:rtl/>
        </w:rPr>
        <w:t>מגע מאכלים בחום כלי ראשון, כלי שני, ועירוי</w:t>
      </w:r>
    </w:p>
    <w:p w14:paraId="2C84493A" w14:textId="77777777" w:rsidR="00AE40A9" w:rsidRPr="00AE40A9" w:rsidRDefault="00AE40A9" w:rsidP="00AE40A9">
      <w:pPr>
        <w:contextualSpacing/>
        <w:rPr>
          <w:rFonts w:ascii="David" w:eastAsia="Calibri" w:hAnsi="David" w:cs="David"/>
          <w:sz w:val="20"/>
          <w:szCs w:val="20"/>
          <w:rtl/>
        </w:rPr>
      </w:pPr>
    </w:p>
    <w:p w14:paraId="69F9F768" w14:textId="77777777" w:rsidR="00AE40A9" w:rsidRPr="00AE40A9" w:rsidRDefault="00AE40A9" w:rsidP="00AE40A9">
      <w:pPr>
        <w:shd w:val="clear" w:color="auto" w:fill="FFFFFF"/>
        <w:contextualSpacing/>
        <w:rPr>
          <w:rFonts w:ascii="David" w:hAnsi="David" w:cs="David"/>
          <w:color w:val="222222"/>
        </w:rPr>
      </w:pPr>
      <w:r w:rsidRPr="00AE40A9">
        <w:rPr>
          <w:rFonts w:ascii="David" w:hAnsi="David" w:cs="David"/>
          <w:color w:val="000000"/>
          <w:rtl/>
        </w:rPr>
        <w:t>בפעם הקודמת התחלנו לעסוק בהבלעת טעם של מאכל אסור במאכל מותר על ידי חום. הקדמנו את הדיון על ידי בירור קצר ביחס למלאכת בישול בשבת. בהלכות שבת ישנה הבחנה בין כלי ראשון וכלי שני. עמדנו על שני כיוונים שעולים בסוגיה ובראשונים:</w:t>
      </w:r>
    </w:p>
    <w:p w14:paraId="3595399B" w14:textId="77777777" w:rsidR="00AE40A9" w:rsidRPr="00AE40A9" w:rsidRDefault="00AE40A9" w:rsidP="00AE40A9">
      <w:pPr>
        <w:shd w:val="clear" w:color="auto" w:fill="FFFFFF"/>
        <w:contextualSpacing/>
        <w:rPr>
          <w:rFonts w:ascii="David" w:hAnsi="David" w:cs="David"/>
          <w:color w:val="222222"/>
          <w:rtl/>
        </w:rPr>
      </w:pPr>
      <w:r w:rsidRPr="00AE40A9">
        <w:rPr>
          <w:rFonts w:ascii="David" w:hAnsi="David" w:cs="David"/>
          <w:color w:val="000000"/>
          <w:rtl/>
        </w:rPr>
        <w:t xml:space="preserve">א. </w:t>
      </w:r>
      <w:r w:rsidRPr="00AE40A9">
        <w:rPr>
          <w:rFonts w:ascii="David" w:hAnsi="David" w:cs="David"/>
          <w:b/>
          <w:bCs/>
          <w:color w:val="000000"/>
          <w:rtl/>
        </w:rPr>
        <w:t>מציאותי</w:t>
      </w:r>
      <w:r w:rsidRPr="00AE40A9">
        <w:rPr>
          <w:rFonts w:ascii="David" w:hAnsi="David" w:cs="David"/>
          <w:color w:val="000000"/>
          <w:rtl/>
        </w:rPr>
        <w:t>: רבי יוסי בירושלמי אומר שההבדל בין כלי ראשון ושני הוא שבאחד מהם היד שולטת ובשני לא. בעלי התוספות נראים שממשיכים את דבריו באמרם שדפנות הכלי שומרות על החום של הכלי הראשון, דבר שאינו קורה בכלי שני, ולכן כלי שני מתקרר מהר יותר.</w:t>
      </w:r>
    </w:p>
    <w:p w14:paraId="38CFCD92" w14:textId="77777777" w:rsidR="00AE40A9" w:rsidRPr="00AE40A9" w:rsidRDefault="00AE40A9" w:rsidP="00AE40A9">
      <w:pPr>
        <w:shd w:val="clear" w:color="auto" w:fill="FFFFFF"/>
        <w:contextualSpacing/>
        <w:rPr>
          <w:rFonts w:ascii="David" w:hAnsi="David" w:cs="David"/>
          <w:color w:val="222222"/>
          <w:rtl/>
        </w:rPr>
      </w:pPr>
      <w:r w:rsidRPr="00AE40A9">
        <w:rPr>
          <w:rFonts w:ascii="David" w:hAnsi="David" w:cs="David"/>
          <w:color w:val="000000"/>
          <w:rtl/>
        </w:rPr>
        <w:t xml:space="preserve">ב. </w:t>
      </w:r>
      <w:proofErr w:type="spellStart"/>
      <w:r w:rsidRPr="00AE40A9">
        <w:rPr>
          <w:rFonts w:ascii="David" w:hAnsi="David" w:cs="David"/>
          <w:b/>
          <w:bCs/>
          <w:color w:val="000000"/>
          <w:rtl/>
        </w:rPr>
        <w:t>בגדרים</w:t>
      </w:r>
      <w:proofErr w:type="spellEnd"/>
      <w:r w:rsidRPr="00AE40A9">
        <w:rPr>
          <w:rFonts w:ascii="David" w:hAnsi="David" w:cs="David"/>
          <w:b/>
          <w:bCs/>
          <w:color w:val="000000"/>
          <w:rtl/>
        </w:rPr>
        <w:t xml:space="preserve"> ההלכתיים</w:t>
      </w:r>
      <w:r w:rsidRPr="00AE40A9">
        <w:rPr>
          <w:rFonts w:ascii="David" w:hAnsi="David" w:cs="David"/>
          <w:color w:val="000000"/>
          <w:rtl/>
        </w:rPr>
        <w:t>: רבי יונה בירושלמי אומר שגזרו על כלי ראשון ולא גזרו על כלי שני. הרמב"ן אומר שמדין תורה אין איסור בישול בשבת בכל כלי שהוסר מהאש. כל הדיון בסוגיה שם הוא מדרבנן, וסביר לגזור על כלי ראשון ולא על כלי שני.</w:t>
      </w:r>
    </w:p>
    <w:p w14:paraId="170E20D9" w14:textId="77777777" w:rsidR="00AE40A9" w:rsidRPr="00AE40A9" w:rsidRDefault="00AE40A9" w:rsidP="00AE40A9">
      <w:pPr>
        <w:shd w:val="clear" w:color="auto" w:fill="FFFFFF"/>
        <w:contextualSpacing/>
        <w:rPr>
          <w:rFonts w:ascii="David" w:hAnsi="David" w:cs="David"/>
          <w:color w:val="000000"/>
          <w:rtl/>
        </w:rPr>
      </w:pPr>
      <w:proofErr w:type="spellStart"/>
      <w:r w:rsidRPr="00AE40A9">
        <w:rPr>
          <w:rFonts w:ascii="David" w:hAnsi="David" w:cs="David"/>
          <w:color w:val="000000"/>
          <w:rtl/>
        </w:rPr>
        <w:t>הר"ן</w:t>
      </w:r>
      <w:proofErr w:type="spellEnd"/>
      <w:r w:rsidRPr="00AE40A9">
        <w:rPr>
          <w:rFonts w:ascii="David" w:hAnsi="David" w:cs="David"/>
          <w:color w:val="000000"/>
          <w:rtl/>
        </w:rPr>
        <w:t xml:space="preserve"> מסכים עם הרמב"ן שזו כוונת הירושלמי, אך טוען שהבבלי חולק, ותפיסת הבבלי יותר מבוססת על המציאות של הבישול. האור שמח מראה שבתפיסת התלמוד הבבלי יש איסור תורה בבישול תבלינים בכלי ראשון, מה שמוכיח שהתפיסה של הבבלי, באופן כללי, מבוססת על המציאות של החום, ולא על הקטגוריה ההלכתית של כלי ראשון ושני.</w:t>
      </w:r>
    </w:p>
    <w:p w14:paraId="140EF143" w14:textId="77777777" w:rsidR="00AE40A9" w:rsidRPr="00AE40A9" w:rsidRDefault="00AE40A9" w:rsidP="00AE40A9">
      <w:pPr>
        <w:shd w:val="clear" w:color="auto" w:fill="FFFFFF"/>
        <w:contextualSpacing/>
        <w:rPr>
          <w:rFonts w:ascii="David" w:hAnsi="David" w:cs="David"/>
          <w:color w:val="000000"/>
          <w:sz w:val="20"/>
          <w:szCs w:val="20"/>
          <w:rtl/>
        </w:rPr>
      </w:pPr>
    </w:p>
    <w:p w14:paraId="1C4A554F"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מכיוון שנו עוסקים בדיני איסור והיתר, ולא בהלכות שבת, הגדרת "בישול" כקטגוריה הלכתית אינה מעסיקה אותנו כעת, אלא השאלה איזה מגע מעביר את הטעם באופן שכבר לא ייפרד ממנו.</w:t>
      </w:r>
    </w:p>
    <w:p w14:paraId="6AB7737D"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"כלי ראשון" הוא המאכל המונח על האש (ישירות או בתוך כלי הנמצא על מקור החום), "כלי שני" הוא מאכל שהועבר מהכלי הראשון לכלי חדש. מהו הדין של המאכל בשלב המעבר – בעירוי מהכלי הראשון לכלי השני?</w:t>
      </w:r>
    </w:p>
    <w:p w14:paraId="1AD680AB"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כתוב בתורה (ויקרא ו) שהכלי בו בושל קרבן החטאת דורש הכשרה (ואם לא ניתן להכשירו יש לשבור את הכלי).</w:t>
      </w:r>
    </w:p>
    <w:p w14:paraId="3212D612"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במסכת זבחים (דף </w:t>
      </w:r>
      <w:proofErr w:type="spellStart"/>
      <w:r w:rsidRPr="00AE40A9">
        <w:rPr>
          <w:rFonts w:ascii="David" w:eastAsia="Calibri" w:hAnsi="David" w:cs="David"/>
          <w:rtl/>
        </w:rPr>
        <w:t>צה</w:t>
      </w:r>
      <w:proofErr w:type="spellEnd"/>
      <w:r w:rsidRPr="00AE40A9">
        <w:rPr>
          <w:rFonts w:ascii="David" w:eastAsia="Calibri" w:hAnsi="David" w:cs="David"/>
          <w:rtl/>
        </w:rPr>
        <w:t xml:space="preserve"> ע"ב)</w:t>
      </w:r>
      <w:r w:rsidRPr="00AE40A9">
        <w:rPr>
          <w:rFonts w:ascii="David" w:eastAsia="Calibri" w:hAnsi="David" w:cs="David"/>
        </w:rPr>
        <w:t xml:space="preserve"> </w:t>
      </w:r>
      <w:r w:rsidRPr="00AE40A9">
        <w:rPr>
          <w:rFonts w:ascii="David" w:eastAsia="Calibri" w:hAnsi="David" w:cs="David"/>
          <w:rtl/>
        </w:rPr>
        <w:t>דנים על גדרי הבישול הדורש הכשרה. במשנה נאמר ש"אחד (כלי) שבישל בו ואחד שעירה לתוכו רותח .... טעונים מריקה ושטיפה" (כלומר – הכשרה). בגמרא מובא לימוד "אשר תבושל בו" – לרבות את העירוי. לכאורה משמע שהעירוי גורם לבליעה: מכיוון שהכלי בולע את החטאת על ידי עירוי מכלי ראשון, יש להכשיר אותו.</w:t>
      </w:r>
    </w:p>
    <w:p w14:paraId="17AB41FD"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ראה נוספת לכך שהעירוי מבשל ככלי ראשון עולה מהגמרא במסכת שבת (דף </w:t>
      </w:r>
      <w:proofErr w:type="spellStart"/>
      <w:r w:rsidRPr="00AE40A9">
        <w:rPr>
          <w:rFonts w:ascii="David" w:eastAsia="Calibri" w:hAnsi="David" w:cs="David"/>
          <w:rtl/>
        </w:rPr>
        <w:t>מב</w:t>
      </w:r>
      <w:proofErr w:type="spellEnd"/>
      <w:r w:rsidRPr="00AE40A9">
        <w:rPr>
          <w:rFonts w:ascii="David" w:eastAsia="Calibri" w:hAnsi="David" w:cs="David"/>
          <w:rtl/>
        </w:rPr>
        <w:t xml:space="preserve"> ע"ב, שנגענו בה ב</w:t>
      </w:r>
      <w:hyperlink r:id="rId17" w:history="1">
        <w:r w:rsidRPr="00AE40A9">
          <w:rPr>
            <w:rFonts w:ascii="David" w:eastAsia="Calibri" w:hAnsi="David" w:cs="David"/>
            <w:color w:val="0563C1"/>
            <w:u w:val="single"/>
            <w:rtl/>
          </w:rPr>
          <w:t>פעם הקודמת</w:t>
        </w:r>
      </w:hyperlink>
      <w:r w:rsidRPr="00AE40A9">
        <w:rPr>
          <w:rFonts w:ascii="David" w:eastAsia="Calibri" w:hAnsi="David" w:cs="David"/>
          <w:rtl/>
        </w:rPr>
        <w:t>) שם נאמר שמותר לתת מאכל לתוך הקערה או התמחוי, כלומר – להוסיף את המאכל שלא בושל לכלי שני. משמע שאסור לשפוך מכלי ראשון על מאכל אחר, לכאורה מפני שהעירוי מבשל ככלי ראשון.</w:t>
      </w:r>
    </w:p>
    <w:p w14:paraId="200F4B66"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לאור ראיות אלו, ר"י הזקן פוסק שלעניין העברת טעם דין עירוי כדין כלי ראשון.</w:t>
      </w:r>
    </w:p>
    <w:p w14:paraId="05CC3C49"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אך במסכת פסחים (דף </w:t>
      </w:r>
      <w:proofErr w:type="spellStart"/>
      <w:r w:rsidRPr="00AE40A9">
        <w:rPr>
          <w:rFonts w:ascii="David" w:eastAsia="Calibri" w:hAnsi="David" w:cs="David"/>
          <w:rtl/>
        </w:rPr>
        <w:t>עו</w:t>
      </w:r>
      <w:proofErr w:type="spellEnd"/>
      <w:r w:rsidRPr="00AE40A9">
        <w:rPr>
          <w:rFonts w:ascii="David" w:eastAsia="Calibri" w:hAnsi="David" w:cs="David"/>
          <w:rtl/>
        </w:rPr>
        <w:t xml:space="preserve"> ע"א) נאמר "חם לתוך צונן, וצונן לתוך חם – רב אמר: </w:t>
      </w:r>
      <w:proofErr w:type="spellStart"/>
      <w:r w:rsidRPr="00AE40A9">
        <w:rPr>
          <w:rFonts w:ascii="David" w:eastAsia="Calibri" w:hAnsi="David" w:cs="David"/>
          <w:rtl/>
        </w:rPr>
        <w:t>עילאה</w:t>
      </w:r>
      <w:proofErr w:type="spellEnd"/>
      <w:r w:rsidRPr="00AE40A9">
        <w:rPr>
          <w:rFonts w:ascii="David" w:eastAsia="Calibri" w:hAnsi="David" w:cs="David"/>
          <w:rtl/>
        </w:rPr>
        <w:t xml:space="preserve"> גבר, ושמואל אמר: </w:t>
      </w:r>
      <w:proofErr w:type="spellStart"/>
      <w:r w:rsidRPr="00AE40A9">
        <w:rPr>
          <w:rFonts w:ascii="David" w:eastAsia="Calibri" w:hAnsi="David" w:cs="David"/>
          <w:rtl/>
        </w:rPr>
        <w:t>תתאה</w:t>
      </w:r>
      <w:proofErr w:type="spellEnd"/>
      <w:r w:rsidRPr="00AE40A9">
        <w:rPr>
          <w:rFonts w:ascii="David" w:eastAsia="Calibri" w:hAnsi="David" w:cs="David"/>
          <w:rtl/>
        </w:rPr>
        <w:t xml:space="preserve"> גבר (כלומר – האם </w:t>
      </w:r>
      <w:r w:rsidRPr="00AE40A9">
        <w:rPr>
          <w:rFonts w:ascii="David" w:eastAsia="Calibri" w:hAnsi="David" w:cs="David"/>
          <w:b/>
          <w:bCs/>
          <w:rtl/>
        </w:rPr>
        <w:t xml:space="preserve">החלק העליון בתבשיל </w:t>
      </w:r>
      <w:r w:rsidRPr="00AE40A9">
        <w:rPr>
          <w:rFonts w:ascii="David" w:eastAsia="Calibri" w:hAnsi="David" w:cs="David"/>
          <w:rtl/>
        </w:rPr>
        <w:t xml:space="preserve">משפיע יותר, לכן אם הוא חם הוא מחמם את התחתון וגורם להעברת טעם, או שהתחתון גובר, ורק אם הוא חם הוא יגבר, יחמם את המאכל הנופל עליו </w:t>
      </w:r>
      <w:proofErr w:type="spellStart"/>
      <w:r w:rsidRPr="00AE40A9">
        <w:rPr>
          <w:rFonts w:ascii="David" w:eastAsia="Calibri" w:hAnsi="David" w:cs="David"/>
          <w:rtl/>
        </w:rPr>
        <w:t>ויגורם</w:t>
      </w:r>
      <w:proofErr w:type="spellEnd"/>
      <w:r w:rsidRPr="00AE40A9">
        <w:rPr>
          <w:rFonts w:ascii="David" w:eastAsia="Calibri" w:hAnsi="David" w:cs="David"/>
          <w:rtl/>
        </w:rPr>
        <w:t xml:space="preserve"> לבליעת טעם). להלכה נפסק </w:t>
      </w:r>
      <w:proofErr w:type="spellStart"/>
      <w:r w:rsidRPr="00AE40A9">
        <w:rPr>
          <w:rFonts w:ascii="David" w:eastAsia="Calibri" w:hAnsi="David" w:cs="David"/>
          <w:rtl/>
        </w:rPr>
        <w:t>שהתתאה</w:t>
      </w:r>
      <w:proofErr w:type="spellEnd"/>
      <w:r w:rsidRPr="00AE40A9">
        <w:rPr>
          <w:rFonts w:ascii="David" w:eastAsia="Calibri" w:hAnsi="David" w:cs="David"/>
          <w:rtl/>
        </w:rPr>
        <w:t xml:space="preserve"> גובר. הגמרא מביאה ראיה </w:t>
      </w:r>
      <w:proofErr w:type="spellStart"/>
      <w:r w:rsidRPr="00AE40A9">
        <w:rPr>
          <w:rFonts w:ascii="David" w:eastAsia="Calibri" w:hAnsi="David" w:cs="David"/>
          <w:rtl/>
        </w:rPr>
        <w:t>מברייתא</w:t>
      </w:r>
      <w:proofErr w:type="spellEnd"/>
      <w:r w:rsidRPr="00AE40A9">
        <w:rPr>
          <w:rFonts w:ascii="David" w:eastAsia="Calibri" w:hAnsi="David" w:cs="David"/>
          <w:rtl/>
        </w:rPr>
        <w:t>, ומסיקה: חם לצונן – קולף, מכיוון שעד שהחום יעבור תהיה בליעה בקליפה החיצונית.</w:t>
      </w:r>
    </w:p>
    <w:p w14:paraId="073160CA" w14:textId="77777777" w:rsidR="00AE40A9" w:rsidRPr="00AE40A9" w:rsidRDefault="00AE40A9" w:rsidP="00AE40A9">
      <w:pPr>
        <w:contextualSpacing/>
        <w:rPr>
          <w:rFonts w:ascii="David" w:eastAsia="Calibri" w:hAnsi="David" w:cs="David"/>
          <w:rtl/>
        </w:rPr>
      </w:pPr>
      <w:proofErr w:type="spellStart"/>
      <w:r w:rsidRPr="00AE40A9">
        <w:rPr>
          <w:rFonts w:ascii="David" w:eastAsia="Calibri" w:hAnsi="David" w:cs="David"/>
          <w:rtl/>
        </w:rPr>
        <w:t>הרשב"ם</w:t>
      </w:r>
      <w:proofErr w:type="spellEnd"/>
      <w:r w:rsidRPr="00AE40A9">
        <w:rPr>
          <w:rFonts w:ascii="David" w:eastAsia="Calibri" w:hAnsi="David" w:cs="David"/>
          <w:rtl/>
        </w:rPr>
        <w:t xml:space="preserve"> אומר שאם </w:t>
      </w:r>
      <w:proofErr w:type="spellStart"/>
      <w:r w:rsidRPr="00AE40A9">
        <w:rPr>
          <w:rFonts w:ascii="David" w:eastAsia="Calibri" w:hAnsi="David" w:cs="David"/>
          <w:rtl/>
        </w:rPr>
        <w:t>התתאה</w:t>
      </w:r>
      <w:proofErr w:type="spellEnd"/>
      <w:r w:rsidRPr="00AE40A9">
        <w:rPr>
          <w:rFonts w:ascii="David" w:eastAsia="Calibri" w:hAnsi="David" w:cs="David"/>
          <w:rtl/>
        </w:rPr>
        <w:t xml:space="preserve"> גבר, המשמעות היא שאין כוח בעירוי לגרום לבליעה, אם כך העירוי הוא ככלי שני. לגבי הראיות הקודמות: בסוגיה במסכת זבחים הגמרא מעלה הווה </w:t>
      </w:r>
      <w:proofErr w:type="spellStart"/>
      <w:r w:rsidRPr="00AE40A9">
        <w:rPr>
          <w:rFonts w:ascii="David" w:eastAsia="Calibri" w:hAnsi="David" w:cs="David"/>
          <w:rtl/>
        </w:rPr>
        <w:t>אמינא</w:t>
      </w:r>
      <w:proofErr w:type="spellEnd"/>
      <w:r w:rsidRPr="00AE40A9">
        <w:rPr>
          <w:rFonts w:ascii="David" w:eastAsia="Calibri" w:hAnsi="David" w:cs="David"/>
          <w:rtl/>
        </w:rPr>
        <w:t xml:space="preserve"> שאם תלה את החטאת בתוך תנור, ללא מגע בו, יש להכשיר את התנור. במקרה זה התנור אינו בולע מהחטאת. אך גזרה התורה "וכלי חרס אשר תבושל בו" – עצם הבישול בו מחייב הכשרה, גם אם אין מעבר של טעם ובליעה. בהקשר של שבת יש גזירה שהעירוי דומה מדי לכלי ראשון, ולכן אסרו חז"ל לערות מכלי ראשון על מאכל. אך משני הדברים אין ראיה שהעירוי גורם לבליעה לעניין איסורים. לכן </w:t>
      </w:r>
      <w:proofErr w:type="spellStart"/>
      <w:r w:rsidRPr="00AE40A9">
        <w:rPr>
          <w:rFonts w:ascii="David" w:eastAsia="Calibri" w:hAnsi="David" w:cs="David"/>
          <w:rtl/>
        </w:rPr>
        <w:t>הרשב"ם</w:t>
      </w:r>
      <w:proofErr w:type="spellEnd"/>
      <w:r w:rsidRPr="00AE40A9">
        <w:rPr>
          <w:rFonts w:ascii="David" w:eastAsia="Calibri" w:hAnsi="David" w:cs="David"/>
          <w:rtl/>
        </w:rPr>
        <w:t xml:space="preserve"> פוסק שלעניין בליעה, עירוי ככלי שני, ואינו מבליע טעם.</w:t>
      </w:r>
    </w:p>
    <w:p w14:paraId="0C5AD591"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אך רוב בעלי התוספות מפשרים בין השיטות ואומרים שאכן יש שלושה גדרים: כלי ראשון – מעביר לחלוטין טעמים. כלי שני – אינו מעביר טעם כלל. עירוי – גורם למעבר ובליעת טעם בקליפת האוכל, ולא מעבר לכך.</w:t>
      </w:r>
    </w:p>
    <w:p w14:paraId="13BFC749"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כפי שהערנו בתחילת הדברים, בעלי התוספות סוברים שישנה הבחנה מציאותית בין כלי ראשון וכלי שני. דפנות הכלי הראשון חוממו על ידי האש (או מקור החום, ולפיכך שומרים על חום המאכל שבו, ואילו דפנות הכלי השני מקררים את המאכל. יש מקום לשאול מהו הדבר המרכזי הגורם להבדל ביניהם: החום של דפנות הכלי הראשון, או הקור של דפנות הכלי השני? נפקא מינה תהיה ביחס לעירוי, ולכאורה בכך חלקו בעלי התוספות הללו: לפי </w:t>
      </w:r>
      <w:proofErr w:type="spellStart"/>
      <w:r w:rsidRPr="00AE40A9">
        <w:rPr>
          <w:rFonts w:ascii="David" w:eastAsia="Calibri" w:hAnsi="David" w:cs="David"/>
          <w:rtl/>
        </w:rPr>
        <w:t>הרשב"ם</w:t>
      </w:r>
      <w:proofErr w:type="spellEnd"/>
      <w:r w:rsidRPr="00AE40A9">
        <w:rPr>
          <w:rFonts w:ascii="David" w:eastAsia="Calibri" w:hAnsi="David" w:cs="David"/>
          <w:rtl/>
        </w:rPr>
        <w:t xml:space="preserve"> העיקר הוא חום דפנות הכלי הראשון. ברגע שהמאכל כבר אינו מוגן על ידי דפנות אלו, דינו ככלי שני. לפי ר"י הזקן העיקר הוא קור דפנות הכלי השני. לכן בשלב העירוי, בו המאכל טרם בא במגע עם דפנות הכלי השני, המאכל אינו מאבד את מעמדו כמאכל כלי ראשון. לפי יתר בעלי התוספות אכן יש שלושה שלבים: העברת טעם בחום המוגן על ידי הדפנות; כאשר המאכל מאבד את הגנת הדפנות הוא יבליע בקליפה בלבד; ואחרי שנח בכלי השני והתקרר מדפנותיו הוא יאבד את כוח העברת הטעם.</w:t>
      </w:r>
    </w:p>
    <w:p w14:paraId="3F4D0A6B"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יצוין שמחלוקת זו משפיעה </w:t>
      </w:r>
      <w:proofErr w:type="spellStart"/>
      <w:r w:rsidRPr="00AE40A9">
        <w:rPr>
          <w:rFonts w:ascii="David" w:eastAsia="Calibri" w:hAnsi="David" w:cs="David"/>
          <w:rtl/>
        </w:rPr>
        <w:t>לקולא</w:t>
      </w:r>
      <w:proofErr w:type="spellEnd"/>
      <w:r w:rsidRPr="00AE40A9">
        <w:rPr>
          <w:rFonts w:ascii="David" w:eastAsia="Calibri" w:hAnsi="David" w:cs="David"/>
          <w:rtl/>
        </w:rPr>
        <w:t xml:space="preserve"> ולחומרה: מצד אחד, לפי </w:t>
      </w:r>
      <w:proofErr w:type="spellStart"/>
      <w:r w:rsidRPr="00AE40A9">
        <w:rPr>
          <w:rFonts w:ascii="David" w:eastAsia="Calibri" w:hAnsi="David" w:cs="David"/>
          <w:rtl/>
        </w:rPr>
        <w:t>הרשב"ם</w:t>
      </w:r>
      <w:proofErr w:type="spellEnd"/>
      <w:r w:rsidRPr="00AE40A9">
        <w:rPr>
          <w:rFonts w:ascii="David" w:eastAsia="Calibri" w:hAnsi="David" w:cs="David"/>
          <w:rtl/>
        </w:rPr>
        <w:t xml:space="preserve"> העירוי לא יאסור מאכלים אחרים. מצד שני, לשיטתו העירוי לא יהיה יעיל במיוחד בהכשרת כלים, כאשר אנו מבקשים להוציא את הטעם הבלוע בכלי. וכמובן שהיפך הדברים בשיטת ר"י.</w:t>
      </w:r>
    </w:p>
    <w:p w14:paraId="09958EFB"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כאמור, חכמי ספרד נוטים לכיוון השני, וסוברים שההבדל בין כלי ראשון ושני הוא בגדרי מלאכת מבשל, אך מבחינה מציאותית לשיטתם יש ללכת לפי הטמפרטורה של המאכלים. לכן </w:t>
      </w:r>
      <w:proofErr w:type="spellStart"/>
      <w:r w:rsidRPr="00AE40A9">
        <w:rPr>
          <w:rFonts w:ascii="David" w:eastAsia="Calibri" w:hAnsi="David" w:cs="David"/>
          <w:rtl/>
        </w:rPr>
        <w:t>הרשב"א</w:t>
      </w:r>
      <w:proofErr w:type="spellEnd"/>
      <w:r w:rsidRPr="00AE40A9">
        <w:rPr>
          <w:rFonts w:ascii="David" w:eastAsia="Calibri" w:hAnsi="David" w:cs="David"/>
          <w:rtl/>
        </w:rPr>
        <w:t xml:space="preserve"> פוסק שכלי שני החם ככלי ראשון מעביר טעם כמו כלי ראשון. כל הדיון על עירוי אינו מתחיל לשיטתו: יש לבחון אם המאכל חם או לא, ולהתייחס לבליעת ולפליטת הטעם בהתאם.</w:t>
      </w:r>
    </w:p>
    <w:p w14:paraId="499ADA12"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 xml:space="preserve">להלכה השולחן ערוך </w:t>
      </w:r>
      <w:proofErr w:type="spellStart"/>
      <w:r w:rsidRPr="00AE40A9">
        <w:rPr>
          <w:rFonts w:ascii="David" w:eastAsia="Calibri" w:hAnsi="David" w:cs="David"/>
          <w:rtl/>
        </w:rPr>
        <w:t>והרמ"א</w:t>
      </w:r>
      <w:proofErr w:type="spellEnd"/>
      <w:r w:rsidRPr="00AE40A9">
        <w:rPr>
          <w:rFonts w:ascii="David" w:eastAsia="Calibri" w:hAnsi="David" w:cs="David"/>
          <w:rtl/>
        </w:rPr>
        <w:t xml:space="preserve"> פוסקים שיש לחשוש לשיטת </w:t>
      </w:r>
      <w:proofErr w:type="spellStart"/>
      <w:r w:rsidRPr="00AE40A9">
        <w:rPr>
          <w:rFonts w:ascii="David" w:eastAsia="Calibri" w:hAnsi="David" w:cs="David"/>
          <w:rtl/>
        </w:rPr>
        <w:t>הרשב"א</w:t>
      </w:r>
      <w:proofErr w:type="spellEnd"/>
      <w:r w:rsidRPr="00AE40A9">
        <w:rPr>
          <w:rFonts w:ascii="David" w:eastAsia="Calibri" w:hAnsi="David" w:cs="David"/>
          <w:rtl/>
        </w:rPr>
        <w:t>, ולהניח שכלי שני מבליע ומפליט כדי קליפה. אך מעיקר הדין הלכה כבעלי התוספות, ולפיכך: כלי ראשון – מעביר ומבליע טעם בתבשיל כולו, כלי שני – דורש הדחה בלבד (מפני שאינו מבליע, במובן של יצירת תרכובת חדשה, אלא די בשטיפת המאכל הבלוע החוצה), ועירוי אוסר את הקליפה החיצונית שבא איתה במגע.</w:t>
      </w:r>
    </w:p>
    <w:p w14:paraId="54ACC8CB" w14:textId="77777777" w:rsidR="00AE40A9" w:rsidRPr="00AE40A9" w:rsidRDefault="00AE40A9" w:rsidP="00AE40A9">
      <w:pPr>
        <w:contextualSpacing/>
        <w:rPr>
          <w:rFonts w:ascii="David" w:eastAsia="Calibri" w:hAnsi="David" w:cs="David"/>
          <w:sz w:val="20"/>
          <w:szCs w:val="20"/>
          <w:rtl/>
        </w:rPr>
      </w:pPr>
    </w:p>
    <w:p w14:paraId="039FEEF0" w14:textId="77777777" w:rsidR="00AE40A9" w:rsidRPr="00AE40A9" w:rsidRDefault="00AE40A9" w:rsidP="00AE40A9">
      <w:pPr>
        <w:contextualSpacing/>
        <w:rPr>
          <w:rFonts w:ascii="David" w:eastAsia="Calibri" w:hAnsi="David" w:cs="David"/>
          <w:rtl/>
        </w:rPr>
      </w:pPr>
      <w:r w:rsidRPr="00AE40A9">
        <w:rPr>
          <w:rFonts w:ascii="David" w:eastAsia="Calibri" w:hAnsi="David" w:cs="David"/>
          <w:rtl/>
        </w:rPr>
        <w:t>בפעם הבאה נעמיק בהשלכות נוספות של מגע מאכלים חמים.</w:t>
      </w:r>
    </w:p>
    <w:p w14:paraId="299E22D6" w14:textId="77777777" w:rsidR="00AE40A9" w:rsidRPr="00AE40A9" w:rsidRDefault="00AE40A9" w:rsidP="00AE40A9">
      <w:pPr>
        <w:contextualSpacing/>
        <w:rPr>
          <w:rFonts w:ascii="David" w:eastAsia="Calibri" w:hAnsi="David" w:cs="David"/>
        </w:rPr>
      </w:pPr>
    </w:p>
    <w:p w14:paraId="20F337D9" w14:textId="36EB4629" w:rsidR="000865B7" w:rsidRDefault="00AE40A9" w:rsidP="000865B7">
      <w:pPr>
        <w:contextualSpacing/>
        <w:jc w:val="center"/>
        <w:rPr>
          <w:rFonts w:cs="David"/>
          <w:b/>
          <w:bCs/>
          <w:color w:val="0070C0"/>
          <w:u w:val="single"/>
          <w:rtl/>
          <w:lang w:eastAsia="he-IL"/>
        </w:rPr>
      </w:pPr>
      <w:hyperlink r:id="rId18"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9" w:history="1">
        <w:r w:rsidR="000865B7" w:rsidRPr="00A355EC">
          <w:rPr>
            <w:rFonts w:cs="David"/>
            <w:b/>
            <w:bCs/>
            <w:color w:val="0070C0"/>
            <w:u w:val="single"/>
            <w:lang w:eastAsia="he-IL"/>
          </w:rPr>
          <w:t>info@eretzhemdah.org</w:t>
        </w:r>
      </w:hyperlink>
    </w:p>
    <w:bookmarkEnd w:id="0"/>
    <w:bookmarkEnd w:id="4"/>
    <w:bookmarkEnd w:id="5"/>
    <w:p w14:paraId="19F18C53" w14:textId="77777777" w:rsidR="0088566E" w:rsidRDefault="0088566E" w:rsidP="00CF1F1C">
      <w:pPr>
        <w:contextualSpacing/>
        <w:rPr>
          <w:rFonts w:cs="David"/>
          <w:b/>
          <w:bCs/>
          <w:color w:val="0070C0"/>
          <w:u w:val="single"/>
          <w:rtl/>
          <w:lang w:eastAsia="he-IL"/>
        </w:rPr>
      </w:pPr>
      <w:r>
        <w:rPr>
          <w:rFonts w:cs="David"/>
          <w:b/>
          <w:bCs/>
          <w:color w:val="0070C0"/>
          <w:u w:val="single"/>
          <w:rtl/>
          <w:lang w:eastAsia="he-IL"/>
        </w:rPr>
        <w:br w:type="page"/>
      </w:r>
    </w:p>
    <w:p w14:paraId="64D2CB0C" w14:textId="37462B22" w:rsidR="00C859D7" w:rsidRDefault="00C859D7" w:rsidP="00CF1F1C">
      <w:pPr>
        <w:contextualSpacing/>
        <w:rPr>
          <w:rFonts w:ascii="David" w:hAnsi="David"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586D2363" w14:textId="77777777" w:rsidR="00FF2FCA" w:rsidRPr="00FF2FCA" w:rsidRDefault="00FF2FCA" w:rsidP="00FF2FCA">
      <w:pPr>
        <w:contextualSpacing/>
        <w:rPr>
          <w:rFonts w:ascii="David" w:hAnsi="David" w:cs="David"/>
          <w:noProof/>
          <w:rtl/>
        </w:rPr>
      </w:pPr>
      <w:r w:rsidRPr="00FF2FCA">
        <w:rPr>
          <w:rFonts w:ascii="David" w:hAnsi="David" w:cs="David"/>
          <w:noProof/>
          <w:rtl/>
        </w:rPr>
        <w:t>(מתוך ח"ד)</w:t>
      </w:r>
    </w:p>
    <w:p w14:paraId="6DF378C9" w14:textId="77777777" w:rsidR="00FF2FCA" w:rsidRPr="00FF2FCA" w:rsidRDefault="00FF2FCA" w:rsidP="00FF2FCA">
      <w:pPr>
        <w:contextualSpacing/>
        <w:rPr>
          <w:rFonts w:ascii="David" w:hAnsi="David" w:cs="David"/>
          <w:noProof/>
          <w:sz w:val="16"/>
          <w:szCs w:val="16"/>
          <w:rtl/>
        </w:rPr>
      </w:pPr>
    </w:p>
    <w:p w14:paraId="306D9F79" w14:textId="07A0CA0B" w:rsidR="00FF2FCA" w:rsidRPr="00FF2FCA" w:rsidRDefault="00FF2FCA" w:rsidP="00FF2FCA">
      <w:pPr>
        <w:contextualSpacing/>
        <w:rPr>
          <w:rFonts w:ascii="David" w:hAnsi="David" w:cs="David"/>
          <w:b/>
          <w:bCs/>
          <w:noProof/>
          <w:sz w:val="32"/>
          <w:szCs w:val="32"/>
          <w:rtl/>
        </w:rPr>
      </w:pPr>
      <w:r w:rsidRPr="00FF2FCA">
        <w:rPr>
          <w:rFonts w:ascii="David" w:hAnsi="David" w:cs="David"/>
          <w:b/>
          <w:bCs/>
          <w:noProof/>
          <w:sz w:val="32"/>
          <w:szCs w:val="32"/>
          <w:rtl/>
        </w:rPr>
        <w:t>פראג, צ'כיה</w:t>
      </w:r>
      <w:r w:rsidRPr="00FF2FCA">
        <w:rPr>
          <w:rFonts w:ascii="David" w:hAnsi="David" w:cs="David"/>
          <w:noProof/>
          <w:sz w:val="32"/>
          <w:szCs w:val="32"/>
          <w:rtl/>
        </w:rPr>
        <w:t xml:space="preserve">                   </w:t>
      </w:r>
      <w:r w:rsidRPr="00FF2FCA">
        <w:rPr>
          <w:rFonts w:ascii="David" w:hAnsi="David" w:cs="David"/>
          <w:noProof/>
          <w:sz w:val="32"/>
          <w:szCs w:val="32"/>
          <w:rtl/>
        </w:rPr>
        <w:tab/>
        <w:t xml:space="preserve">       </w:t>
      </w:r>
      <w:r w:rsidRPr="00FF2FCA">
        <w:rPr>
          <w:rFonts w:ascii="David" w:hAnsi="David" w:cs="David"/>
          <w:noProof/>
          <w:sz w:val="32"/>
          <w:szCs w:val="32"/>
          <w:rtl/>
        </w:rPr>
        <w:tab/>
      </w:r>
      <w:r w:rsidRPr="00FF2FCA">
        <w:rPr>
          <w:rFonts w:ascii="David" w:hAnsi="David" w:cs="David"/>
          <w:noProof/>
          <w:sz w:val="32"/>
          <w:szCs w:val="32"/>
          <w:rtl/>
        </w:rPr>
        <w:tab/>
      </w:r>
      <w:r w:rsidRPr="00FF2FCA">
        <w:rPr>
          <w:rFonts w:ascii="David" w:hAnsi="David" w:cs="David"/>
          <w:noProof/>
          <w:sz w:val="32"/>
          <w:szCs w:val="32"/>
          <w:rtl/>
        </w:rPr>
        <w:tab/>
      </w:r>
      <w:r w:rsidRPr="00FF2FCA">
        <w:rPr>
          <w:rFonts w:ascii="David" w:hAnsi="David" w:cs="David"/>
          <w:noProof/>
          <w:sz w:val="32"/>
          <w:szCs w:val="32"/>
          <w:rtl/>
        </w:rPr>
        <w:tab/>
      </w:r>
      <w:r w:rsidRPr="00FF2FCA">
        <w:rPr>
          <w:rFonts w:ascii="David" w:hAnsi="David" w:cs="David"/>
          <w:noProof/>
          <w:sz w:val="32"/>
          <w:szCs w:val="32"/>
          <w:rtl/>
        </w:rPr>
        <w:tab/>
        <w:t xml:space="preserve">         </w:t>
      </w:r>
      <w:r w:rsidRPr="00FF2FCA">
        <w:rPr>
          <w:rFonts w:ascii="David" w:hAnsi="David" w:cs="David" w:hint="cs"/>
          <w:noProof/>
          <w:sz w:val="32"/>
          <w:szCs w:val="32"/>
          <w:rtl/>
        </w:rPr>
        <w:t xml:space="preserve"> </w:t>
      </w:r>
      <w:r>
        <w:rPr>
          <w:rFonts w:ascii="David" w:hAnsi="David" w:cs="David" w:hint="cs"/>
          <w:noProof/>
          <w:sz w:val="32"/>
          <w:szCs w:val="32"/>
          <w:rtl/>
        </w:rPr>
        <w:t xml:space="preserve">      </w:t>
      </w:r>
      <w:r w:rsidRPr="00FF2FCA">
        <w:rPr>
          <w:rFonts w:ascii="David" w:hAnsi="David" w:cs="David" w:hint="cs"/>
          <w:noProof/>
          <w:sz w:val="32"/>
          <w:szCs w:val="32"/>
          <w:rtl/>
        </w:rPr>
        <w:t xml:space="preserve">  </w:t>
      </w:r>
      <w:r w:rsidRPr="00FF2FCA">
        <w:rPr>
          <w:rFonts w:ascii="David" w:hAnsi="David" w:cs="David"/>
          <w:b/>
          <w:bCs/>
          <w:noProof/>
          <w:sz w:val="32"/>
          <w:szCs w:val="32"/>
        </w:rPr>
        <w:t>Prague, Czech Republic</w:t>
      </w:r>
    </w:p>
    <w:p w14:paraId="788BA086"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אייר, ה'תשנ"ו</w:t>
      </w:r>
    </w:p>
    <w:p w14:paraId="1F9A1E08" w14:textId="77777777" w:rsidR="00FF2FCA" w:rsidRPr="00FF2FCA" w:rsidRDefault="00FF2FCA" w:rsidP="00FF2FCA">
      <w:pPr>
        <w:widowControl w:val="0"/>
        <w:autoSpaceDE w:val="0"/>
        <w:autoSpaceDN w:val="0"/>
        <w:adjustRightInd w:val="0"/>
        <w:contextualSpacing/>
        <w:rPr>
          <w:rFonts w:ascii="David" w:hAnsi="David" w:cs="David"/>
          <w:noProof/>
          <w:sz w:val="16"/>
          <w:szCs w:val="16"/>
          <w:rtl/>
        </w:rPr>
      </w:pPr>
    </w:p>
    <w:p w14:paraId="767EDB5D" w14:textId="77777777" w:rsidR="00FF2FCA" w:rsidRPr="00FF2FCA" w:rsidRDefault="00FF2FCA" w:rsidP="00FF2FCA">
      <w:pPr>
        <w:widowControl w:val="0"/>
        <w:autoSpaceDE w:val="0"/>
        <w:autoSpaceDN w:val="0"/>
        <w:adjustRightInd w:val="0"/>
        <w:contextualSpacing/>
        <w:rPr>
          <w:rFonts w:ascii="David" w:hAnsi="David" w:cs="David"/>
          <w:b/>
          <w:bCs/>
          <w:color w:val="0070C0"/>
          <w:kern w:val="2"/>
          <w:sz w:val="30"/>
          <w:szCs w:val="30"/>
          <w:rtl/>
          <w14:ligatures w14:val="standardContextual"/>
        </w:rPr>
      </w:pPr>
      <w:r w:rsidRPr="00FF2FCA">
        <w:rPr>
          <w:rFonts w:ascii="David" w:hAnsi="David" w:cs="David"/>
          <w:b/>
          <w:bCs/>
          <w:color w:val="0070C0"/>
          <w:kern w:val="2"/>
          <w:sz w:val="30"/>
          <w:szCs w:val="30"/>
          <w:rtl/>
          <w14:ligatures w14:val="standardContextual"/>
        </w:rPr>
        <w:t>חישוב זמני השקיעה וצאת-הכוכבים לצורך הלכות שבת</w:t>
      </w:r>
    </w:p>
    <w:p w14:paraId="7BB28368" w14:textId="77777777" w:rsidR="00FF2FCA" w:rsidRPr="00FF2FCA" w:rsidRDefault="00FF2FCA" w:rsidP="00FF2FCA">
      <w:pPr>
        <w:widowControl w:val="0"/>
        <w:autoSpaceDE w:val="0"/>
        <w:autoSpaceDN w:val="0"/>
        <w:adjustRightInd w:val="0"/>
        <w:contextualSpacing/>
        <w:rPr>
          <w:rFonts w:ascii="David" w:hAnsi="David" w:cs="David"/>
          <w:noProof/>
          <w:sz w:val="16"/>
          <w:szCs w:val="16"/>
          <w:rtl/>
        </w:rPr>
      </w:pPr>
    </w:p>
    <w:p w14:paraId="0A681A1B" w14:textId="77777777" w:rsidR="00FF2FCA" w:rsidRPr="00FF2FCA" w:rsidRDefault="00FF2FCA" w:rsidP="00FF2FCA">
      <w:pPr>
        <w:widowControl w:val="0"/>
        <w:autoSpaceDE w:val="0"/>
        <w:autoSpaceDN w:val="0"/>
        <w:adjustRightInd w:val="0"/>
        <w:contextualSpacing/>
        <w:rPr>
          <w:rFonts w:ascii="David" w:hAnsi="David" w:cs="David"/>
          <w:b/>
          <w:bCs/>
          <w:noProof/>
          <w:sz w:val="26"/>
          <w:szCs w:val="26"/>
          <w:rtl/>
        </w:rPr>
      </w:pPr>
      <w:r w:rsidRPr="00FF2FCA">
        <w:rPr>
          <w:rFonts w:ascii="David" w:hAnsi="David" w:cs="David"/>
          <w:b/>
          <w:bCs/>
          <w:noProof/>
          <w:sz w:val="26"/>
          <w:szCs w:val="26"/>
          <w:rtl/>
        </w:rPr>
        <w:t>שאלה</w:t>
      </w:r>
    </w:p>
    <w:p w14:paraId="56BE31E2"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לא ידוע לנו כאן בפראג כיצד נהגו לענין כניסת ויציאת השבת, האם עלינו להמשיך ולנסות לברר את המנהג הקדום כדי להמשיך בו או לא? אם לא, כיצד עלינו לנהג בענין תוספת שבת בכניסתה וביציאתה. כמו כן מצאנו הבדלים של דקה או שתים בין הלוח ששלחתם אלי לבין מה שפרסמה החברה האסטרונומית של פארג (שרוב חבריה אינם יהודים) מדוע יש הבדלים בין הלוחות והאם ניתן לסמוך על לוחות זמנים שחוברו ע"י גויים?</w:t>
      </w:r>
    </w:p>
    <w:p w14:paraId="598C8E28" w14:textId="77777777" w:rsidR="00FF2FCA" w:rsidRPr="00FF2FCA" w:rsidRDefault="00FF2FCA" w:rsidP="00FF2FCA">
      <w:pPr>
        <w:widowControl w:val="0"/>
        <w:autoSpaceDE w:val="0"/>
        <w:autoSpaceDN w:val="0"/>
        <w:adjustRightInd w:val="0"/>
        <w:contextualSpacing/>
        <w:rPr>
          <w:rFonts w:ascii="David" w:hAnsi="David" w:cs="David"/>
          <w:noProof/>
          <w:sz w:val="16"/>
          <w:szCs w:val="16"/>
          <w:rtl/>
        </w:rPr>
      </w:pPr>
    </w:p>
    <w:p w14:paraId="00367352" w14:textId="77777777" w:rsidR="00FF2FCA" w:rsidRPr="00FF2FCA" w:rsidRDefault="00FF2FCA" w:rsidP="00FF2FCA">
      <w:pPr>
        <w:widowControl w:val="0"/>
        <w:autoSpaceDE w:val="0"/>
        <w:autoSpaceDN w:val="0"/>
        <w:adjustRightInd w:val="0"/>
        <w:contextualSpacing/>
        <w:rPr>
          <w:rFonts w:ascii="David" w:hAnsi="David" w:cs="David"/>
          <w:b/>
          <w:bCs/>
          <w:noProof/>
          <w:sz w:val="26"/>
          <w:szCs w:val="26"/>
          <w:rtl/>
        </w:rPr>
      </w:pPr>
      <w:r w:rsidRPr="00FF2FCA">
        <w:rPr>
          <w:rFonts w:ascii="David" w:hAnsi="David" w:cs="David"/>
          <w:b/>
          <w:bCs/>
          <w:noProof/>
          <w:sz w:val="26"/>
          <w:szCs w:val="26"/>
          <w:rtl/>
        </w:rPr>
        <w:t>תשובה</w:t>
      </w:r>
    </w:p>
    <w:p w14:paraId="43F2BBA6"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בירור מנהגו המדויק של מקום יכול להיעשות רק ע"י בירור עם תושביו המקוריים. מכיוון שהקהילה היהודית בפראג חרבה בזמן השואה, ר"ל, אין הקהילה החדשה מחויבת בדווקא למנהגי הקהילה הקודמת</w:t>
      </w:r>
      <w:r w:rsidRPr="00FF2FCA">
        <w:rPr>
          <w:rFonts w:ascii="David" w:hAnsi="David" w:cs="David" w:hint="cs"/>
          <w:noProof/>
          <w:vertAlign w:val="superscript"/>
          <w:rtl/>
          <w:lang w:eastAsia="he-IL"/>
        </w:rPr>
        <w:t>1</w:t>
      </w:r>
      <w:r w:rsidRPr="00FF2FCA">
        <w:rPr>
          <w:rFonts w:ascii="David" w:hAnsi="David" w:cs="David"/>
          <w:noProof/>
          <w:rtl/>
        </w:rPr>
        <w:t>.</w:t>
      </w:r>
    </w:p>
    <w:p w14:paraId="5215A540"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חישוב זמנן של הזריחה והשקיעה תלוי במקומה המדויק של השמש בשמים בתנאים הטופוגרפיים המדויקים של המקום, באחוזי הלחות באטמוספרה (המשפיעים על שבירת קרני השמש), בזמן הזריחה וכן במקומו המדויק של הצופה.</w:t>
      </w:r>
    </w:p>
    <w:p w14:paraId="2371573A"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נוסחאות החישוב המכילות את כל המשתנים הנ"ל הן מסובכות מאוד, והעובדה ששני מקורות שונים (צילמנו את הלוח ששלחנו לך מתוך הספר "זמנים כהלכה לבית ולנוסע" מאת פרופ' יהודה לוי, הוצאת ראובן מס, ירושלים תשנ"ב, עמ' 255-254) חישבו והגיעו ללוחות שווים שאין בהם סטייה יותר מדקה או שתיים, נחשבת להישג מדעי</w:t>
      </w:r>
      <w:r w:rsidRPr="00FF2FCA">
        <w:rPr>
          <w:rFonts w:ascii="David" w:hAnsi="David" w:cs="David" w:hint="cs"/>
          <w:noProof/>
          <w:vertAlign w:val="superscript"/>
          <w:rtl/>
          <w:lang w:eastAsia="he-IL"/>
        </w:rPr>
        <w:t>2</w:t>
      </w:r>
      <w:r w:rsidRPr="00FF2FCA">
        <w:rPr>
          <w:rFonts w:ascii="David" w:hAnsi="David" w:cs="David"/>
          <w:noProof/>
          <w:rtl/>
        </w:rPr>
        <w:t>. לכן אם ישנה נפקא מינה חשובה לדיוק הנ"ל, יש להתנהג לחומרא או לקולא, לפי העניין הנדון.</w:t>
      </w:r>
    </w:p>
    <w:p w14:paraId="4E2C10C7"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באשר לשאלתך, אם ניתן לסמוך לעניין הלכה על חישוב שערכוהו גויים, כתב רמב"ם בהל' קידוש החודש</w:t>
      </w:r>
      <w:r w:rsidRPr="00FF2FCA">
        <w:rPr>
          <w:rFonts w:ascii="David" w:hAnsi="David" w:cs="David" w:hint="cs"/>
          <w:noProof/>
          <w:vertAlign w:val="superscript"/>
          <w:rtl/>
          <w:lang w:eastAsia="he-IL"/>
        </w:rPr>
        <w:t>3</w:t>
      </w:r>
      <w:r w:rsidRPr="00FF2FCA">
        <w:rPr>
          <w:rFonts w:ascii="David" w:hAnsi="David" w:cs="David"/>
          <w:noProof/>
          <w:rtl/>
        </w:rPr>
        <w:t xml:space="preserve"> במפורש שאכן ניתן לעשות כן, שזהו בכלל "קבל האמת ממי שאמרה", ואף במקום שלא התאמת אצלו החשבון, יש לסמוך בכהאי גוונא על אומן גוי שלא מרע אומנותיה</w:t>
      </w:r>
      <w:r w:rsidRPr="00FF2FCA">
        <w:rPr>
          <w:rFonts w:ascii="David" w:hAnsi="David" w:cs="David" w:hint="cs"/>
          <w:noProof/>
          <w:vertAlign w:val="superscript"/>
          <w:rtl/>
          <w:lang w:eastAsia="he-IL"/>
        </w:rPr>
        <w:t>4</w:t>
      </w:r>
      <w:r w:rsidRPr="00FF2FCA">
        <w:rPr>
          <w:rFonts w:ascii="David" w:hAnsi="David" w:cs="David"/>
          <w:noProof/>
          <w:rtl/>
        </w:rPr>
        <w:t>.</w:t>
      </w:r>
    </w:p>
    <w:p w14:paraId="0B8C91CA" w14:textId="77777777" w:rsidR="00FF2FCA" w:rsidRPr="00FF2FCA" w:rsidRDefault="00FF2FCA" w:rsidP="00FF2FCA">
      <w:pPr>
        <w:widowControl w:val="0"/>
        <w:autoSpaceDE w:val="0"/>
        <w:autoSpaceDN w:val="0"/>
        <w:adjustRightInd w:val="0"/>
        <w:contextualSpacing/>
        <w:rPr>
          <w:rFonts w:ascii="David" w:hAnsi="David" w:cs="David"/>
          <w:noProof/>
          <w:rtl/>
        </w:rPr>
      </w:pPr>
      <w:r w:rsidRPr="00FF2FCA">
        <w:rPr>
          <w:rFonts w:ascii="David" w:hAnsi="David" w:cs="David"/>
          <w:noProof/>
          <w:rtl/>
        </w:rPr>
        <w:t>מנהג האשכנזים פה בעיה"ק ירושלם הוא להוסיף בכניסת שבת כ-40 דקות לערך לפני השקיעה, בעוד שברוב הקהילות בארץ הקודש נוהגים להוסיף כ-22 דקות לפני השקיעה, וכן נוהגים חלק מן הספרדים בירושלים</w:t>
      </w:r>
      <w:r w:rsidRPr="00FF2FCA">
        <w:rPr>
          <w:rFonts w:ascii="David" w:hAnsi="David" w:cs="David" w:hint="cs"/>
          <w:noProof/>
          <w:vertAlign w:val="superscript"/>
          <w:rtl/>
          <w:lang w:eastAsia="he-IL"/>
        </w:rPr>
        <w:t>5</w:t>
      </w:r>
      <w:r w:rsidRPr="00FF2FCA">
        <w:rPr>
          <w:rFonts w:ascii="David" w:hAnsi="David" w:cs="David"/>
          <w:noProof/>
          <w:rtl/>
        </w:rPr>
        <w:t>. על כן נכון יהיה להנהיג גם אצלכם כניסת שבת 22 דקות לפני השקיעה, ולהוסיף בצאת השבת דקות ספורות</w:t>
      </w:r>
      <w:r w:rsidRPr="00FF2FCA">
        <w:rPr>
          <w:rFonts w:ascii="David" w:hAnsi="David" w:cs="David" w:hint="cs"/>
          <w:noProof/>
          <w:vertAlign w:val="superscript"/>
          <w:rtl/>
          <w:lang w:eastAsia="he-IL"/>
        </w:rPr>
        <w:t>6</w:t>
      </w:r>
      <w:r w:rsidRPr="00FF2FCA">
        <w:rPr>
          <w:rFonts w:ascii="David" w:hAnsi="David" w:cs="David"/>
          <w:noProof/>
          <w:rtl/>
        </w:rPr>
        <w:t xml:space="preserve"> (אחר צאת-הכוכבים), אלא שנוהגים לחשב את זמן צאת-הכוכבים במוצאי-שבת</w:t>
      </w:r>
      <w:r w:rsidRPr="00FF2FCA">
        <w:rPr>
          <w:rFonts w:ascii="David" w:hAnsi="David" w:cs="David" w:hint="cs"/>
          <w:noProof/>
          <w:vertAlign w:val="superscript"/>
          <w:rtl/>
          <w:lang w:eastAsia="he-IL"/>
        </w:rPr>
        <w:t>7</w:t>
      </w:r>
      <w:r w:rsidRPr="00FF2FCA">
        <w:rPr>
          <w:rFonts w:ascii="David" w:hAnsi="David" w:cs="David"/>
          <w:noProof/>
          <w:rtl/>
        </w:rPr>
        <w:t xml:space="preserve"> בדרך שונה מאשר לעניינים אחרים.</w:t>
      </w:r>
    </w:p>
    <w:p w14:paraId="2AC1B0A6" w14:textId="77777777" w:rsidR="00FF2FCA" w:rsidRPr="00FF2FCA" w:rsidRDefault="00FF2FCA" w:rsidP="00FF2FCA">
      <w:pPr>
        <w:contextualSpacing/>
        <w:rPr>
          <w:rFonts w:ascii="David" w:hAnsi="David" w:cs="David"/>
          <w:noProof/>
          <w:sz w:val="16"/>
          <w:szCs w:val="16"/>
          <w:rtl/>
          <w:lang w:eastAsia="he-IL"/>
        </w:rPr>
      </w:pPr>
    </w:p>
    <w:p w14:paraId="63A2A7F8" w14:textId="77777777" w:rsidR="00FF2FCA" w:rsidRPr="00FF2FCA" w:rsidRDefault="00FF2FCA" w:rsidP="00FF2FCA">
      <w:pPr>
        <w:contextualSpacing/>
        <w:rPr>
          <w:rFonts w:ascii="David" w:hAnsi="David" w:cs="David"/>
          <w:noProof/>
          <w:sz w:val="10"/>
          <w:szCs w:val="10"/>
          <w:rtl/>
          <w:lang w:eastAsia="he-IL"/>
        </w:rPr>
      </w:pPr>
      <w:r w:rsidRPr="00FF2FCA">
        <w:rPr>
          <w:rFonts w:ascii="David" w:hAnsi="David" w:cs="David" w:hint="cs"/>
          <w:noProof/>
          <w:sz w:val="10"/>
          <w:szCs w:val="10"/>
          <w:rtl/>
          <w:lang w:eastAsia="he-IL"/>
        </w:rPr>
        <w:t>_________________________________________________________</w:t>
      </w:r>
    </w:p>
    <w:p w14:paraId="7212C2DC" w14:textId="77777777" w:rsidR="00FF2FCA" w:rsidRPr="00FF2FCA" w:rsidRDefault="00FF2FCA" w:rsidP="00FF2FCA">
      <w:pPr>
        <w:contextualSpacing/>
        <w:rPr>
          <w:rFonts w:ascii="David" w:hAnsi="David" w:cs="David"/>
          <w:noProof/>
          <w:sz w:val="10"/>
          <w:szCs w:val="10"/>
          <w:rtl/>
          <w:lang w:eastAsia="he-IL"/>
        </w:rPr>
      </w:pPr>
    </w:p>
    <w:p w14:paraId="54CA7618" w14:textId="77777777" w:rsidR="00FF2FCA" w:rsidRPr="00FF2FCA" w:rsidRDefault="00FF2FCA" w:rsidP="00FF2FCA">
      <w:pPr>
        <w:spacing w:line="220" w:lineRule="exact"/>
        <w:ind w:left="141" w:hanging="141"/>
        <w:rPr>
          <w:rFonts w:ascii="David" w:hAnsi="David" w:cs="David"/>
          <w:noProof/>
          <w:sz w:val="22"/>
          <w:szCs w:val="22"/>
        </w:rPr>
      </w:pPr>
      <w:r w:rsidRPr="00FF2FCA">
        <w:rPr>
          <w:rFonts w:ascii="David" w:hAnsi="David" w:cs="David"/>
          <w:noProof/>
          <w:sz w:val="22"/>
          <w:szCs w:val="22"/>
          <w:vertAlign w:val="superscript"/>
          <w:lang w:eastAsia="he-IL"/>
        </w:rPr>
        <w:footnoteRef/>
      </w:r>
      <w:r w:rsidRPr="00FF2FCA">
        <w:rPr>
          <w:rFonts w:ascii="David" w:hAnsi="David" w:cs="David"/>
          <w:noProof/>
          <w:sz w:val="22"/>
          <w:szCs w:val="22"/>
          <w:rtl/>
        </w:rPr>
        <w:t xml:space="preserve"> </w:t>
      </w:r>
      <w:r w:rsidRPr="00FF2FCA">
        <w:rPr>
          <w:rFonts w:ascii="David" w:hAnsi="David" w:cs="David"/>
          <w:noProof/>
          <w:sz w:val="22"/>
          <w:szCs w:val="22"/>
          <w:rtl/>
        </w:rPr>
        <w:tab/>
        <w:t>עיין בהקדמה לספר "שבת הארץ" לראי"ה קוק.</w:t>
      </w:r>
      <w:r w:rsidRPr="00FF2FCA">
        <w:rPr>
          <w:rFonts w:ascii="David" w:hAnsi="David" w:cs="David"/>
          <w:noProof/>
          <w:sz w:val="22"/>
          <w:szCs w:val="22"/>
        </w:rPr>
        <w:t xml:space="preserve"> </w:t>
      </w:r>
    </w:p>
    <w:p w14:paraId="76216071" w14:textId="77777777" w:rsidR="00FF2FCA" w:rsidRPr="00FF2FCA" w:rsidRDefault="00FF2FCA" w:rsidP="00FF2FCA">
      <w:pPr>
        <w:spacing w:line="220" w:lineRule="exact"/>
        <w:ind w:left="141" w:hanging="141"/>
        <w:rPr>
          <w:rFonts w:ascii="David" w:hAnsi="David" w:cs="David"/>
          <w:noProof/>
          <w:sz w:val="22"/>
          <w:szCs w:val="22"/>
          <w:rtl/>
        </w:rPr>
      </w:pPr>
      <w:r w:rsidRPr="00FF2FCA">
        <w:rPr>
          <w:rFonts w:ascii="David" w:hAnsi="David" w:cs="David" w:hint="cs"/>
          <w:noProof/>
          <w:sz w:val="22"/>
          <w:szCs w:val="22"/>
          <w:vertAlign w:val="superscript"/>
          <w:rtl/>
          <w:lang w:eastAsia="he-IL"/>
        </w:rPr>
        <w:t>2</w:t>
      </w:r>
      <w:r w:rsidRPr="00FF2FCA">
        <w:rPr>
          <w:rFonts w:ascii="David" w:hAnsi="David" w:cs="David"/>
          <w:noProof/>
          <w:sz w:val="22"/>
          <w:szCs w:val="22"/>
          <w:rtl/>
        </w:rPr>
        <w:tab/>
        <w:t xml:space="preserve">על-פי בקי בנושא שיטת חישוב הזריחה והשקיעה. </w:t>
      </w:r>
    </w:p>
    <w:p w14:paraId="797DB433" w14:textId="77777777" w:rsidR="00FF2FCA" w:rsidRPr="00FF2FCA" w:rsidRDefault="00FF2FCA" w:rsidP="00FF2FCA">
      <w:pPr>
        <w:spacing w:line="220" w:lineRule="exact"/>
        <w:ind w:left="141" w:hanging="141"/>
        <w:rPr>
          <w:rFonts w:ascii="David" w:hAnsi="David" w:cs="David"/>
          <w:noProof/>
          <w:sz w:val="22"/>
          <w:szCs w:val="22"/>
        </w:rPr>
      </w:pPr>
      <w:r w:rsidRPr="00FF2FCA">
        <w:rPr>
          <w:rFonts w:ascii="David" w:hAnsi="David" w:cs="David" w:hint="cs"/>
          <w:noProof/>
          <w:sz w:val="22"/>
          <w:szCs w:val="22"/>
          <w:vertAlign w:val="superscript"/>
          <w:rtl/>
          <w:lang w:eastAsia="he-IL"/>
        </w:rPr>
        <w:t>3</w:t>
      </w:r>
      <w:r w:rsidRPr="00FF2FCA">
        <w:rPr>
          <w:rFonts w:ascii="David" w:hAnsi="David" w:cs="David"/>
          <w:noProof/>
          <w:sz w:val="22"/>
          <w:szCs w:val="22"/>
          <w:rtl/>
        </w:rPr>
        <w:t xml:space="preserve"> </w:t>
      </w:r>
      <w:r w:rsidRPr="00FF2FCA">
        <w:rPr>
          <w:rFonts w:ascii="David" w:hAnsi="David" w:cs="David"/>
          <w:noProof/>
          <w:sz w:val="22"/>
          <w:szCs w:val="22"/>
          <w:rtl/>
        </w:rPr>
        <w:tab/>
        <w:t>עיי"ש פי"ז הכ"ד.</w:t>
      </w:r>
      <w:r w:rsidRPr="00FF2FCA">
        <w:rPr>
          <w:rFonts w:ascii="David" w:hAnsi="David" w:cs="David"/>
          <w:noProof/>
          <w:sz w:val="22"/>
          <w:szCs w:val="22"/>
        </w:rPr>
        <w:t xml:space="preserve"> </w:t>
      </w:r>
    </w:p>
    <w:p w14:paraId="6677111F" w14:textId="77777777" w:rsidR="00FF2FCA" w:rsidRPr="00FF2FCA" w:rsidRDefault="00FF2FCA" w:rsidP="00FF2FCA">
      <w:pPr>
        <w:spacing w:line="220" w:lineRule="exact"/>
        <w:ind w:left="141" w:hanging="141"/>
        <w:rPr>
          <w:rFonts w:ascii="David" w:hAnsi="David" w:cs="David"/>
          <w:noProof/>
          <w:sz w:val="22"/>
          <w:szCs w:val="22"/>
          <w:rtl/>
        </w:rPr>
      </w:pPr>
      <w:r w:rsidRPr="00FF2FCA">
        <w:rPr>
          <w:rFonts w:ascii="David" w:hAnsi="David" w:cs="David"/>
          <w:noProof/>
          <w:sz w:val="22"/>
          <w:szCs w:val="22"/>
          <w:vertAlign w:val="superscript"/>
          <w:rtl/>
        </w:rPr>
        <w:t xml:space="preserve">4 </w:t>
      </w:r>
      <w:r w:rsidRPr="00FF2FCA">
        <w:rPr>
          <w:rFonts w:ascii="David" w:hAnsi="David" w:cs="David"/>
          <w:noProof/>
          <w:sz w:val="22"/>
          <w:szCs w:val="22"/>
          <w:vertAlign w:val="superscript"/>
          <w:rtl/>
        </w:rPr>
        <w:tab/>
      </w:r>
      <w:r w:rsidRPr="00FF2FCA">
        <w:rPr>
          <w:rFonts w:ascii="David" w:hAnsi="David" w:cs="David"/>
          <w:noProof/>
          <w:sz w:val="22"/>
          <w:szCs w:val="22"/>
          <w:rtl/>
        </w:rPr>
        <w:t>עיין שו"ע אורח חיים (סי</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 xml:space="preserve"> שכח, י) בהגהת רמ"א משם משמע, שבעניין חילול שבת סמכינן על אומן גוי, וכל שכן כאן דהוי מסיח לפי תומו, ועיין עוד שו"ע יורה דעה (סי</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 xml:space="preserve"> צח ס"א) ונושאי כליו שם. </w:t>
      </w:r>
    </w:p>
    <w:p w14:paraId="00D8B133" w14:textId="77777777" w:rsidR="00FF2FCA" w:rsidRPr="00FF2FCA" w:rsidRDefault="00FF2FCA" w:rsidP="00FF2FCA">
      <w:pPr>
        <w:spacing w:line="220" w:lineRule="exact"/>
        <w:ind w:left="141" w:hanging="141"/>
        <w:rPr>
          <w:rFonts w:ascii="David" w:hAnsi="David" w:cs="David"/>
          <w:noProof/>
          <w:sz w:val="22"/>
          <w:szCs w:val="22"/>
        </w:rPr>
      </w:pPr>
      <w:r w:rsidRPr="00FF2FCA">
        <w:rPr>
          <w:rFonts w:ascii="David" w:hAnsi="David" w:cs="David" w:hint="cs"/>
          <w:noProof/>
          <w:sz w:val="22"/>
          <w:szCs w:val="22"/>
          <w:vertAlign w:val="superscript"/>
          <w:rtl/>
          <w:lang w:eastAsia="he-IL"/>
        </w:rPr>
        <w:t>5</w:t>
      </w:r>
      <w:r w:rsidRPr="00FF2FCA">
        <w:rPr>
          <w:rFonts w:ascii="David" w:hAnsi="David" w:cs="David"/>
          <w:noProof/>
          <w:sz w:val="22"/>
          <w:szCs w:val="22"/>
          <w:rtl/>
        </w:rPr>
        <w:t xml:space="preserve"> </w:t>
      </w:r>
      <w:r w:rsidRPr="00FF2FCA">
        <w:rPr>
          <w:rFonts w:ascii="David" w:hAnsi="David" w:cs="David"/>
          <w:noProof/>
          <w:sz w:val="22"/>
          <w:szCs w:val="22"/>
          <w:rtl/>
        </w:rPr>
        <w:tab/>
        <w:t>פסקי הגר"ע יוסף.</w:t>
      </w:r>
      <w:r w:rsidRPr="00FF2FCA">
        <w:rPr>
          <w:rFonts w:ascii="David" w:hAnsi="David" w:cs="David"/>
          <w:noProof/>
          <w:sz w:val="22"/>
          <w:szCs w:val="22"/>
        </w:rPr>
        <w:t xml:space="preserve"> </w:t>
      </w:r>
    </w:p>
    <w:p w14:paraId="1412AA53" w14:textId="77777777" w:rsidR="00FF2FCA" w:rsidRPr="00FF2FCA" w:rsidRDefault="00FF2FCA" w:rsidP="00FF2FCA">
      <w:pPr>
        <w:spacing w:line="220" w:lineRule="exact"/>
        <w:ind w:left="141" w:hanging="141"/>
        <w:rPr>
          <w:rFonts w:ascii="David" w:hAnsi="David" w:cs="David"/>
          <w:noProof/>
          <w:sz w:val="22"/>
          <w:szCs w:val="22"/>
        </w:rPr>
      </w:pPr>
      <w:r w:rsidRPr="00FF2FCA">
        <w:rPr>
          <w:rFonts w:ascii="David" w:hAnsi="David" w:cs="David" w:hint="cs"/>
          <w:noProof/>
          <w:sz w:val="22"/>
          <w:szCs w:val="22"/>
          <w:vertAlign w:val="superscript"/>
          <w:rtl/>
          <w:lang w:eastAsia="he-IL"/>
        </w:rPr>
        <w:t>6</w:t>
      </w:r>
      <w:r w:rsidRPr="00FF2FCA">
        <w:rPr>
          <w:rFonts w:ascii="David" w:hAnsi="David" w:cs="David"/>
          <w:noProof/>
          <w:sz w:val="22"/>
          <w:szCs w:val="22"/>
          <w:rtl/>
        </w:rPr>
        <w:t xml:space="preserve"> </w:t>
      </w:r>
      <w:r w:rsidRPr="00FF2FCA">
        <w:rPr>
          <w:rFonts w:ascii="David" w:hAnsi="David" w:cs="David"/>
          <w:noProof/>
          <w:sz w:val="22"/>
          <w:szCs w:val="22"/>
          <w:rtl/>
        </w:rPr>
        <w:tab/>
        <w:t>עיין שו"ע אורח חיים (סי' רצג ס"ב) ושם ב"משנה ברורה" (ס"ק ה).</w:t>
      </w:r>
    </w:p>
    <w:p w14:paraId="2B1CFFDB" w14:textId="77777777" w:rsidR="00FF2FCA" w:rsidRPr="00FF2FCA" w:rsidRDefault="00FF2FCA" w:rsidP="00FF2FCA">
      <w:pPr>
        <w:spacing w:line="220" w:lineRule="exact"/>
        <w:ind w:left="141" w:hanging="141"/>
        <w:rPr>
          <w:rFonts w:ascii="David" w:hAnsi="David" w:cs="David"/>
          <w:noProof/>
          <w:sz w:val="22"/>
          <w:szCs w:val="22"/>
          <w:rtl/>
        </w:rPr>
      </w:pPr>
      <w:r w:rsidRPr="00FF2FCA">
        <w:rPr>
          <w:rFonts w:ascii="David" w:hAnsi="David" w:cs="David"/>
          <w:noProof/>
          <w:sz w:val="22"/>
          <w:szCs w:val="22"/>
          <w:vertAlign w:val="superscript"/>
          <w:rtl/>
        </w:rPr>
        <w:t xml:space="preserve">7 </w:t>
      </w:r>
      <w:r w:rsidRPr="00FF2FCA">
        <w:rPr>
          <w:rFonts w:ascii="David" w:hAnsi="David" w:cs="David"/>
          <w:noProof/>
          <w:sz w:val="22"/>
          <w:szCs w:val="22"/>
          <w:vertAlign w:val="superscript"/>
          <w:rtl/>
        </w:rPr>
        <w:tab/>
      </w:r>
      <w:r w:rsidRPr="00FF2FCA">
        <w:rPr>
          <w:rFonts w:ascii="David" w:hAnsi="David" w:cs="David"/>
          <w:noProof/>
          <w:sz w:val="22"/>
          <w:szCs w:val="22"/>
          <w:rtl/>
        </w:rPr>
        <w:t>דע שצאת-הכוכבים לעניין שבת אינו כצאת-הכוכבים לעניין יום יום, שכן בגמ</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 xml:space="preserve"> שבת (דף לה  ע" ) משמע, שלעניין תרומה יש להחמיר כרבי יוסי, הסובר שבין-השמשות הוא כ"הרף עין", והוא אחר זמנו של רבי יהודה, ונחלקו ראשונים ואחרונים בשאלה, אי הוי סמוך לבין השמשות דרבי יהודה או במעט מאוחר או לאחר זמן. בארץ-ישראל נוהגים לעניין שבת כשיטת הרי"מ טיקוצ</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ינסקי שצאת-הכוכבים אליבא דרבי יוסי הוא בממוצע 36 דקות אחר השקיעה (בזמן שהשמש נמצאת בזווית 8.5 מעלות מתחת לאופק) ואף-על-פי שהרי"מ טיקוצ</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ינסקי פסק כך לכל עניין דאורייתא, נוהגים ברוב הקהילות לעניין קריאת-שמע שצאת-הכוכבים הוא ג</w:t>
      </w:r>
      <w:smartTag w:uri="urn:schemas-microsoft-com:office:smarttags" w:element="PersonName">
        <w:r w:rsidRPr="00FF2FCA">
          <w:rPr>
            <w:rFonts w:ascii="David" w:hAnsi="David" w:cs="David"/>
            <w:noProof/>
            <w:sz w:val="22"/>
            <w:szCs w:val="22"/>
            <w:rtl/>
          </w:rPr>
          <w:t>'</w:t>
        </w:r>
      </w:smartTag>
      <w:r w:rsidRPr="00FF2FCA">
        <w:rPr>
          <w:rFonts w:ascii="David" w:hAnsi="David" w:cs="David"/>
          <w:noProof/>
          <w:sz w:val="22"/>
          <w:szCs w:val="22"/>
          <w:rtl/>
        </w:rPr>
        <w:t xml:space="preserve"> רבעי מיל וכלשהו של כהרף עין אחר שקיעת-החמה, אבל לעניין שבת מחמירים, כדעתו. </w:t>
      </w:r>
    </w:p>
    <w:p w14:paraId="12904167" w14:textId="77777777" w:rsidR="00FF2FCA" w:rsidRPr="00FF2FCA" w:rsidRDefault="00FF2FCA" w:rsidP="00FF2FCA">
      <w:pPr>
        <w:contextualSpacing/>
        <w:rPr>
          <w:rFonts w:ascii="David" w:hAnsi="David" w:cs="David"/>
          <w:noProof/>
          <w:sz w:val="16"/>
          <w:szCs w:val="16"/>
          <w:lang w:eastAsia="he-IL"/>
        </w:rPr>
      </w:pPr>
    </w:p>
    <w:p w14:paraId="5B418239" w14:textId="77777777" w:rsidR="00240334" w:rsidRPr="009D171D" w:rsidRDefault="00240334" w:rsidP="0035396B">
      <w:pPr>
        <w:contextualSpacing/>
        <w:rPr>
          <w:rFonts w:cs="David"/>
          <w:sz w:val="16"/>
          <w:szCs w:val="16"/>
        </w:rPr>
      </w:pPr>
    </w:p>
    <w:p w14:paraId="47B4423D" w14:textId="6D396A00" w:rsidR="00900422" w:rsidRPr="00900422" w:rsidRDefault="00900422" w:rsidP="0035396B">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Pr="009D171D" w:rsidRDefault="009E2D69" w:rsidP="00900422">
      <w:pPr>
        <w:ind w:left="2695"/>
        <w:jc w:val="center"/>
        <w:rPr>
          <w:rFonts w:cs="David"/>
          <w:sz w:val="16"/>
          <w:szCs w:val="16"/>
          <w:lang w:eastAsia="he-IL"/>
        </w:rPr>
      </w:pPr>
    </w:p>
    <w:p w14:paraId="0D288695" w14:textId="77777777" w:rsidR="009D171D" w:rsidRPr="009D171D" w:rsidRDefault="009D171D" w:rsidP="009D171D">
      <w:pPr>
        <w:jc w:val="both"/>
        <w:rPr>
          <w:rFonts w:cs="David"/>
          <w:u w:val="single"/>
          <w:rtl/>
          <w:lang w:eastAsia="he-IL"/>
        </w:rPr>
      </w:pPr>
      <w:r w:rsidRPr="009D171D">
        <w:rPr>
          <w:rFonts w:cs="David"/>
          <w:u w:val="single"/>
          <w:rtl/>
          <w:lang w:eastAsia="he-IL"/>
        </w:rPr>
        <w:t>חברי הועדה המייעצת</w:t>
      </w:r>
      <w:r w:rsidRPr="009D171D">
        <w:rPr>
          <w:rFonts w:cs="David" w:hint="cs"/>
          <w:u w:val="single"/>
          <w:rtl/>
          <w:lang w:eastAsia="he-IL"/>
        </w:rPr>
        <w:t xml:space="preserve"> לכרכים ד-ט</w:t>
      </w:r>
      <w:r w:rsidRPr="009D171D">
        <w:rPr>
          <w:rFonts w:cs="David"/>
          <w:u w:val="single"/>
          <w:rtl/>
          <w:lang w:eastAsia="he-IL"/>
        </w:rPr>
        <w:t>:</w:t>
      </w:r>
    </w:p>
    <w:p w14:paraId="66BFBAFF" w14:textId="77777777" w:rsidR="009D171D" w:rsidRPr="009D171D" w:rsidRDefault="009D171D" w:rsidP="009D171D">
      <w:pPr>
        <w:jc w:val="both"/>
        <w:rPr>
          <w:rFonts w:cs="David"/>
          <w:sz w:val="23"/>
          <w:szCs w:val="23"/>
          <w:rtl/>
          <w:lang w:eastAsia="he-IL"/>
        </w:rPr>
      </w:pPr>
      <w:r w:rsidRPr="009D171D">
        <w:rPr>
          <w:rFonts w:cs="David"/>
          <w:sz w:val="23"/>
          <w:szCs w:val="23"/>
          <w:rtl/>
          <w:lang w:eastAsia="he-IL"/>
        </w:rPr>
        <w:t>הרב זלמן נחמיה גולדברג</w:t>
      </w:r>
    </w:p>
    <w:p w14:paraId="6475C3AB" w14:textId="77777777" w:rsidR="009D171D" w:rsidRPr="009D171D" w:rsidRDefault="009D171D" w:rsidP="009D171D">
      <w:pPr>
        <w:jc w:val="both"/>
        <w:rPr>
          <w:rFonts w:cs="David"/>
          <w:sz w:val="23"/>
          <w:szCs w:val="23"/>
          <w:rtl/>
          <w:lang w:eastAsia="he-IL"/>
        </w:rPr>
      </w:pPr>
      <w:r w:rsidRPr="009D171D">
        <w:rPr>
          <w:rFonts w:cs="David"/>
          <w:sz w:val="23"/>
          <w:szCs w:val="23"/>
          <w:rtl/>
          <w:lang w:eastAsia="he-IL"/>
        </w:rPr>
        <w:t xml:space="preserve">הרב נחום אליעזר </w:t>
      </w:r>
      <w:proofErr w:type="spellStart"/>
      <w:r w:rsidRPr="009D171D">
        <w:rPr>
          <w:rFonts w:cs="David"/>
          <w:sz w:val="23"/>
          <w:szCs w:val="23"/>
          <w:rtl/>
          <w:lang w:eastAsia="he-IL"/>
        </w:rPr>
        <w:t>רבינוביץ</w:t>
      </w:r>
      <w:proofErr w:type="spellEnd"/>
    </w:p>
    <w:p w14:paraId="14E05AB4" w14:textId="77777777" w:rsidR="009D171D" w:rsidRPr="009D171D" w:rsidRDefault="009D171D" w:rsidP="009D171D">
      <w:pPr>
        <w:jc w:val="both"/>
        <w:rPr>
          <w:rFonts w:cs="David"/>
          <w:sz w:val="23"/>
          <w:szCs w:val="23"/>
          <w:rtl/>
          <w:lang w:eastAsia="he-IL"/>
        </w:rPr>
      </w:pPr>
      <w:r w:rsidRPr="009D171D">
        <w:rPr>
          <w:rFonts w:cs="David"/>
          <w:sz w:val="23"/>
          <w:szCs w:val="23"/>
          <w:rtl/>
          <w:lang w:eastAsia="he-IL"/>
        </w:rPr>
        <w:t>הרב ישראל רוזן</w:t>
      </w:r>
    </w:p>
    <w:p w14:paraId="5ADC1DF4" w14:textId="77777777" w:rsidR="000865B7" w:rsidRPr="009D171D" w:rsidRDefault="000865B7" w:rsidP="00F35BD1">
      <w:pPr>
        <w:jc w:val="both"/>
        <w:rPr>
          <w:rFonts w:cs="David"/>
          <w:sz w:val="16"/>
          <w:szCs w:val="16"/>
          <w:rtl/>
          <w:lang w:eastAsia="he-IL"/>
        </w:rPr>
      </w:pPr>
    </w:p>
    <w:p w14:paraId="478BF5F0" w14:textId="77777777" w:rsidR="006B1D3B" w:rsidRPr="009D171D" w:rsidRDefault="006B1D3B" w:rsidP="00F35BD1">
      <w:pPr>
        <w:jc w:val="both"/>
        <w:rPr>
          <w:rFonts w:cs="David"/>
          <w:sz w:val="16"/>
          <w:szCs w:val="16"/>
          <w:rtl/>
          <w:lang w:eastAsia="he-IL"/>
        </w:rPr>
      </w:pPr>
    </w:p>
    <w:p w14:paraId="49760DB4" w14:textId="44C3C6D9" w:rsidR="000865B7" w:rsidRDefault="00AE40A9" w:rsidP="00FF2FCA">
      <w:pPr>
        <w:contextualSpacing/>
        <w:jc w:val="center"/>
        <w:rPr>
          <w:rFonts w:cs="David"/>
          <w:b/>
          <w:bCs/>
          <w:color w:val="0070C0"/>
          <w:u w:val="single"/>
          <w:rtl/>
          <w:lang w:eastAsia="he-IL"/>
        </w:rPr>
      </w:pPr>
      <w:hyperlink r:id="rId21"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22" w:history="1">
        <w:r w:rsidR="000865B7" w:rsidRPr="00A355EC">
          <w:rPr>
            <w:rFonts w:cs="David"/>
            <w:b/>
            <w:bCs/>
            <w:color w:val="0070C0"/>
            <w:u w:val="single"/>
            <w:lang w:eastAsia="he-IL"/>
          </w:rPr>
          <w:t>info@eretzhemdah.org</w:t>
        </w:r>
      </w:hyperlink>
    </w:p>
    <w:p w14:paraId="71895F51" w14:textId="77777777" w:rsidR="00185265" w:rsidRDefault="00185265" w:rsidP="005F29A1">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5F29A1" w:rsidRPr="005648DA" w14:paraId="54BB2AE7" w14:textId="77777777" w:rsidTr="00BE3D2E">
        <w:tc>
          <w:tcPr>
            <w:tcW w:w="7224" w:type="dxa"/>
            <w:gridSpan w:val="13"/>
            <w:tcBorders>
              <w:top w:val="single" w:sz="4" w:space="0" w:color="auto"/>
              <w:left w:val="single" w:sz="4" w:space="0" w:color="auto"/>
              <w:bottom w:val="nil"/>
              <w:right w:val="nil"/>
            </w:tcBorders>
            <w:vAlign w:val="center"/>
          </w:tcPr>
          <w:p w14:paraId="33FFDDFA" w14:textId="77777777" w:rsidR="005F29A1" w:rsidRPr="005648DA" w:rsidRDefault="005F29A1" w:rsidP="0006034B">
            <w:pPr>
              <w:spacing w:line="276" w:lineRule="auto"/>
              <w:contextualSpacing/>
              <w:jc w:val="center"/>
              <w:rPr>
                <w:rFonts w:cs="David"/>
                <w:b/>
                <w:bCs/>
                <w:sz w:val="6"/>
                <w:szCs w:val="6"/>
                <w:u w:val="single"/>
                <w:rtl/>
              </w:rPr>
            </w:pPr>
          </w:p>
          <w:p w14:paraId="79F39CF4" w14:textId="77777777" w:rsidR="005F29A1" w:rsidRPr="005648DA" w:rsidRDefault="005F29A1" w:rsidP="0006034B">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11D93461" w14:textId="77777777" w:rsidR="005F29A1" w:rsidRPr="002D3018" w:rsidRDefault="005F29A1" w:rsidP="0006034B">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5F29A1" w:rsidRPr="005648DA" w14:paraId="32C9DEFF" w14:textId="77777777" w:rsidTr="00BE3D2E">
        <w:tc>
          <w:tcPr>
            <w:tcW w:w="1967" w:type="dxa"/>
            <w:gridSpan w:val="2"/>
            <w:tcBorders>
              <w:top w:val="nil"/>
              <w:left w:val="single" w:sz="4" w:space="0" w:color="auto"/>
              <w:bottom w:val="nil"/>
              <w:right w:val="nil"/>
            </w:tcBorders>
            <w:vAlign w:val="center"/>
          </w:tcPr>
          <w:p w14:paraId="2B69CC91" w14:textId="77777777" w:rsidR="005F29A1" w:rsidRPr="005648DA" w:rsidRDefault="005F29A1" w:rsidP="0006034B">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14D998B1"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7AC372BF"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37160F49"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64552DC6" w14:textId="77777777" w:rsidR="005F29A1" w:rsidRPr="005648DA" w:rsidRDefault="005F29A1" w:rsidP="0006034B">
            <w:pPr>
              <w:spacing w:line="276" w:lineRule="auto"/>
              <w:contextualSpacing/>
              <w:jc w:val="center"/>
              <w:rPr>
                <w:rFonts w:cs="David"/>
                <w:b/>
                <w:bCs/>
                <w:color w:val="0070C0"/>
                <w:sz w:val="19"/>
                <w:szCs w:val="19"/>
              </w:rPr>
            </w:pPr>
          </w:p>
        </w:tc>
      </w:tr>
      <w:tr w:rsidR="005F29A1" w:rsidRPr="005648DA" w14:paraId="7D7A191D" w14:textId="77777777" w:rsidTr="00BE3D2E">
        <w:tc>
          <w:tcPr>
            <w:tcW w:w="281" w:type="dxa"/>
            <w:tcBorders>
              <w:top w:val="nil"/>
              <w:left w:val="single" w:sz="4" w:space="0" w:color="auto"/>
              <w:bottom w:val="nil"/>
              <w:right w:val="nil"/>
            </w:tcBorders>
            <w:vAlign w:val="center"/>
          </w:tcPr>
          <w:p w14:paraId="057C9CDB" w14:textId="77777777" w:rsidR="005F29A1" w:rsidRPr="005648DA" w:rsidRDefault="005F29A1" w:rsidP="0006034B">
            <w:pPr>
              <w:spacing w:line="276"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89A2439"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C6C6E0E"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16C6F6A4"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69F0A64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5026D9B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5F29A1" w:rsidRPr="005648DA" w14:paraId="76BC6E02" w14:textId="77777777" w:rsidTr="00BE3D2E">
        <w:tc>
          <w:tcPr>
            <w:tcW w:w="1978" w:type="dxa"/>
            <w:gridSpan w:val="3"/>
            <w:tcBorders>
              <w:top w:val="nil"/>
              <w:left w:val="single" w:sz="4" w:space="0" w:color="auto"/>
              <w:bottom w:val="nil"/>
              <w:right w:val="nil"/>
            </w:tcBorders>
            <w:vAlign w:val="center"/>
          </w:tcPr>
          <w:p w14:paraId="5022681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5301270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6E433977"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4008916" w14:textId="77777777" w:rsidR="005F29A1" w:rsidRPr="005648DA" w:rsidRDefault="005F29A1" w:rsidP="0006034B">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4397D866"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33559ED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5F29A1" w:rsidRPr="005648DA" w14:paraId="22377F8B" w14:textId="77777777" w:rsidTr="00BE3D2E">
        <w:tc>
          <w:tcPr>
            <w:tcW w:w="2113" w:type="dxa"/>
            <w:gridSpan w:val="4"/>
            <w:tcBorders>
              <w:top w:val="nil"/>
              <w:left w:val="single" w:sz="4" w:space="0" w:color="auto"/>
              <w:bottom w:val="nil"/>
              <w:right w:val="nil"/>
            </w:tcBorders>
            <w:vAlign w:val="center"/>
          </w:tcPr>
          <w:p w14:paraId="35D527E1"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D67C4F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0FC3CF5" w14:textId="77777777" w:rsidR="005F29A1" w:rsidRPr="005648DA" w:rsidRDefault="005F29A1" w:rsidP="0006034B">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07BB34D6"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33E6A134"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31C308DB" w14:textId="77777777" w:rsidR="005F29A1" w:rsidRPr="005648DA" w:rsidRDefault="005F29A1" w:rsidP="0006034B">
            <w:pPr>
              <w:spacing w:line="276" w:lineRule="auto"/>
              <w:contextualSpacing/>
              <w:jc w:val="center"/>
              <w:rPr>
                <w:rFonts w:cs="David"/>
                <w:b/>
                <w:bCs/>
                <w:color w:val="0070C0"/>
                <w:sz w:val="19"/>
                <w:szCs w:val="19"/>
                <w:rtl/>
              </w:rPr>
            </w:pPr>
          </w:p>
        </w:tc>
      </w:tr>
      <w:tr w:rsidR="005F29A1" w:rsidRPr="005648DA" w14:paraId="7E871039" w14:textId="77777777" w:rsidTr="00BE3D2E">
        <w:tc>
          <w:tcPr>
            <w:tcW w:w="2122" w:type="dxa"/>
            <w:gridSpan w:val="5"/>
            <w:tcBorders>
              <w:top w:val="nil"/>
              <w:left w:val="single" w:sz="4" w:space="0" w:color="auto"/>
              <w:bottom w:val="single" w:sz="4" w:space="0" w:color="auto"/>
              <w:right w:val="nil"/>
            </w:tcBorders>
            <w:vAlign w:val="center"/>
          </w:tcPr>
          <w:p w14:paraId="4624C3FF" w14:textId="6C291678" w:rsidR="005F29A1" w:rsidRPr="00E52D0C" w:rsidRDefault="005F29A1" w:rsidP="0006034B">
            <w:pPr>
              <w:spacing w:line="276" w:lineRule="auto"/>
              <w:contextualSpacing/>
              <w:jc w:val="center"/>
              <w:rPr>
                <w:rFonts w:ascii="David" w:hAnsi="David" w:cs="David"/>
                <w:b/>
                <w:bCs/>
                <w:color w:val="0070C0"/>
                <w:sz w:val="19"/>
                <w:szCs w:val="19"/>
                <w:rtl/>
              </w:rPr>
            </w:pPr>
          </w:p>
        </w:tc>
        <w:tc>
          <w:tcPr>
            <w:tcW w:w="2410" w:type="dxa"/>
            <w:gridSpan w:val="3"/>
            <w:tcBorders>
              <w:top w:val="nil"/>
              <w:left w:val="nil"/>
              <w:bottom w:val="single" w:sz="4" w:space="0" w:color="auto"/>
              <w:right w:val="nil"/>
            </w:tcBorders>
            <w:vAlign w:val="center"/>
          </w:tcPr>
          <w:p w14:paraId="0B7FF8F0" w14:textId="7F4FF047"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477DC6DC" w14:textId="3C34395A"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3F42BE30" w14:textId="394A3E06" w:rsidR="005F29A1" w:rsidRPr="005648DA" w:rsidRDefault="0045737A" w:rsidP="0006034B">
            <w:pPr>
              <w:spacing w:line="276"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59444433" w14:textId="77777777" w:rsidR="005F29A1" w:rsidRDefault="005F29A1" w:rsidP="001953F7">
      <w:pPr>
        <w:contextualSpacing/>
        <w:jc w:val="center"/>
        <w:rPr>
          <w:color w:val="0070C0"/>
          <w:rtl/>
        </w:rPr>
      </w:pPr>
    </w:p>
    <w:sectPr w:rsidR="005F29A1" w:rsidSect="00C37C95">
      <w:headerReference w:type="default" r:id="rId23"/>
      <w:headerReference w:type="first" r:id="rId24"/>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1" name="תמונה 1"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545420A" w:rsidR="003056AF" w:rsidRPr="00FA505B" w:rsidRDefault="00FF1ADF"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חקת</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9"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0"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4"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8"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2"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3"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8"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9"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0"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1"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3"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4"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8"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5"/>
  </w:num>
  <w:num w:numId="2">
    <w:abstractNumId w:val="26"/>
  </w:num>
  <w:num w:numId="3">
    <w:abstractNumId w:val="19"/>
  </w:num>
  <w:num w:numId="4">
    <w:abstractNumId w:val="17"/>
  </w:num>
  <w:num w:numId="5">
    <w:abstractNumId w:val="33"/>
  </w:num>
  <w:num w:numId="6">
    <w:abstractNumId w:val="27"/>
  </w:num>
  <w:num w:numId="7">
    <w:abstractNumId w:val="23"/>
  </w:num>
  <w:num w:numId="8">
    <w:abstractNumId w:val="14"/>
  </w:num>
  <w:num w:numId="9">
    <w:abstractNumId w:val="2"/>
  </w:num>
  <w:num w:numId="10">
    <w:abstractNumId w:val="7"/>
  </w:num>
  <w:num w:numId="11">
    <w:abstractNumId w:val="10"/>
  </w:num>
  <w:num w:numId="12">
    <w:abstractNumId w:val="37"/>
  </w:num>
  <w:num w:numId="13">
    <w:abstractNumId w:val="6"/>
  </w:num>
  <w:num w:numId="14">
    <w:abstractNumId w:val="38"/>
  </w:num>
  <w:num w:numId="15">
    <w:abstractNumId w:val="9"/>
  </w:num>
  <w:num w:numId="16">
    <w:abstractNumId w:val="13"/>
  </w:num>
  <w:num w:numId="17">
    <w:abstractNumId w:val="30"/>
  </w:num>
  <w:num w:numId="18">
    <w:abstractNumId w:val="16"/>
  </w:num>
  <w:num w:numId="19">
    <w:abstractNumId w:val="36"/>
  </w:num>
  <w:num w:numId="20">
    <w:abstractNumId w:val="20"/>
  </w:num>
  <w:num w:numId="21">
    <w:abstractNumId w:val="18"/>
  </w:num>
  <w:num w:numId="22">
    <w:abstractNumId w:val="15"/>
  </w:num>
  <w:num w:numId="23">
    <w:abstractNumId w:val="28"/>
  </w:num>
  <w:num w:numId="24">
    <w:abstractNumId w:val="12"/>
  </w:num>
  <w:num w:numId="25">
    <w:abstractNumId w:val="34"/>
  </w:num>
  <w:num w:numId="26">
    <w:abstractNumId w:val="3"/>
  </w:num>
  <w:num w:numId="27">
    <w:abstractNumId w:val="11"/>
  </w:num>
  <w:num w:numId="28">
    <w:abstractNumId w:val="5"/>
  </w:num>
  <w:num w:numId="29">
    <w:abstractNumId w:val="1"/>
  </w:num>
  <w:num w:numId="30">
    <w:abstractNumId w:val="32"/>
  </w:num>
  <w:num w:numId="31">
    <w:abstractNumId w:val="8"/>
  </w:num>
  <w:num w:numId="32">
    <w:abstractNumId w:val="22"/>
  </w:num>
  <w:num w:numId="33">
    <w:abstractNumId w:val="25"/>
  </w:num>
  <w:num w:numId="34">
    <w:abstractNumId w:val="24"/>
  </w:num>
  <w:num w:numId="35">
    <w:abstractNumId w:val="21"/>
  </w:num>
  <w:num w:numId="36">
    <w:abstractNumId w:val="29"/>
  </w:num>
  <w:num w:numId="37">
    <w:abstractNumId w:val="4"/>
  </w:num>
  <w:num w:numId="38">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710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eretzhemdah.org/content.asp?PageId=8&amp;lang=h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yeshiva.org.il/midrash/598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s.asp?lang=he&amp;pageid=4&amp;cat=7"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2582</Words>
  <Characters>12435</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12</cp:revision>
  <cp:lastPrinted>2025-01-30T11:17:00Z</cp:lastPrinted>
  <dcterms:created xsi:type="dcterms:W3CDTF">2026-06-14T14:11:00Z</dcterms:created>
  <dcterms:modified xsi:type="dcterms:W3CDTF">2026-06-18T08:50:00Z</dcterms:modified>
</cp:coreProperties>
</file>