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4295425B"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182962">
              <w:rPr>
                <w:rFonts w:ascii="Arial Black" w:hAnsi="Arial Black" w:cs="David" w:hint="cs"/>
                <w:b/>
                <w:bCs/>
                <w:iCs/>
                <w:color w:val="960000"/>
                <w:sz w:val="50"/>
                <w:szCs w:val="50"/>
                <w:rtl/>
              </w:rPr>
              <w:t>פנחס</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0FD36939" w:rsidR="00512DD9" w:rsidRPr="0045737A" w:rsidRDefault="00512DD9" w:rsidP="00C110AA">
            <w:pPr>
              <w:shd w:val="clear" w:color="auto" w:fill="FFFFFF"/>
              <w:rPr>
                <w:rFonts w:ascii="David" w:hAnsi="David" w:cs="David"/>
                <w:sz w:val="6"/>
                <w:szCs w:val="6"/>
              </w:rPr>
            </w:pPr>
            <w:bookmarkStart w:id="1" w:name="_Hlk213923647"/>
          </w:p>
          <w:p w14:paraId="21E67670" w14:textId="77777777" w:rsidR="008B6236" w:rsidRPr="008B6236" w:rsidRDefault="008B6236" w:rsidP="008B6236">
            <w:pPr>
              <w:ind w:right="604"/>
              <w:contextualSpacing/>
              <w:jc w:val="center"/>
              <w:rPr>
                <w:rFonts w:ascii="FrankRuehl" w:eastAsia="Calibri" w:hAnsi="FrankRuehl" w:cs="FrankRuehl"/>
                <w:b/>
                <w:bCs/>
                <w:color w:val="0070C0"/>
                <w:sz w:val="32"/>
                <w:szCs w:val="32"/>
                <w:u w:val="single"/>
              </w:rPr>
            </w:pPr>
            <w:bookmarkStart w:id="2" w:name="_Hlk184807529"/>
            <w:r w:rsidRPr="008B6236">
              <w:rPr>
                <w:rFonts w:ascii="FrankRuehl" w:eastAsia="Calibri" w:hAnsi="FrankRuehl" w:cs="FrankRuehl" w:hint="cs"/>
                <w:b/>
                <w:bCs/>
                <w:color w:val="0070C0"/>
                <w:sz w:val="32"/>
                <w:szCs w:val="32"/>
                <w:u w:val="single"/>
                <w:rtl/>
              </w:rPr>
              <w:t xml:space="preserve">קדושת המחנה, </w:t>
            </w:r>
            <w:r w:rsidRPr="008B6236">
              <w:rPr>
                <w:rFonts w:ascii="FrankRuehl" w:eastAsia="Calibri" w:hAnsi="FrankRuehl" w:cs="FrankRuehl"/>
                <w:b/>
                <w:bCs/>
                <w:color w:val="0070C0"/>
                <w:sz w:val="32"/>
                <w:szCs w:val="32"/>
                <w:u w:val="single"/>
                <w:rtl/>
              </w:rPr>
              <w:t>סוכה, משכן, אהל וארון</w:t>
            </w:r>
          </w:p>
          <w:p w14:paraId="5C55D6DB" w14:textId="3F13540B" w:rsidR="00FA4750" w:rsidRPr="00FA4750" w:rsidRDefault="00C57FAB" w:rsidP="00FA4750">
            <w:pPr>
              <w:spacing w:line="360" w:lineRule="auto"/>
              <w:ind w:right="604"/>
              <w:jc w:val="center"/>
              <w:rPr>
                <w:rFonts w:ascii="David" w:eastAsia="Calibri" w:hAnsi="David" w:cs="David"/>
                <w:kern w:val="2"/>
                <w:sz w:val="23"/>
                <w:szCs w:val="23"/>
                <w:rtl/>
                <w14:ligatures w14:val="standardContextua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067C18A9" w14:textId="77777777" w:rsidR="008B6236" w:rsidRPr="008B6236" w:rsidRDefault="008B6236" w:rsidP="008B6236">
            <w:pPr>
              <w:shd w:val="clear" w:color="auto" w:fill="FFFFFF"/>
              <w:rPr>
                <w:rFonts w:ascii="David" w:hAnsi="David" w:cs="David"/>
                <w:sz w:val="20"/>
                <w:szCs w:val="20"/>
              </w:rPr>
            </w:pPr>
            <w:r w:rsidRPr="008B6236">
              <w:rPr>
                <w:rFonts w:ascii="David" w:hAnsi="David" w:cs="David"/>
                <w:rtl/>
              </w:rPr>
              <w:t>קשר בין איש ואשה, על פי ההלכה, נוצר כתוצאה של מעשה קידושין מלשון קדושה. קשר קדוש זה מאפשר לזוג לבנות בית שהשכינה שורה בתוכו כמאמר חז"ל: "</w:t>
            </w:r>
            <w:proofErr w:type="spellStart"/>
            <w:r w:rsidRPr="008B6236">
              <w:rPr>
                <w:rFonts w:ascii="David" w:hAnsi="David" w:cs="David"/>
                <w:rtl/>
              </w:rPr>
              <w:t>דריש</w:t>
            </w:r>
            <w:proofErr w:type="spellEnd"/>
            <w:r w:rsidRPr="008B6236">
              <w:rPr>
                <w:rFonts w:ascii="David" w:hAnsi="David" w:cs="David"/>
                <w:rtl/>
              </w:rPr>
              <w:t xml:space="preserve"> רבי עקיבא: איש ואשה, זכו - שכינה ביניהן, לא זכו - אש </w:t>
            </w:r>
            <w:proofErr w:type="spellStart"/>
            <w:r w:rsidRPr="008B6236">
              <w:rPr>
                <w:rFonts w:ascii="David" w:hAnsi="David" w:cs="David"/>
                <w:rtl/>
              </w:rPr>
              <w:t>אוכלתן</w:t>
            </w:r>
            <w:proofErr w:type="spellEnd"/>
            <w:r w:rsidRPr="008B6236">
              <w:rPr>
                <w:rFonts w:ascii="David" w:hAnsi="David" w:cs="David"/>
                <w:rtl/>
              </w:rPr>
              <w:t xml:space="preserve">" </w:t>
            </w:r>
            <w:r w:rsidRPr="008B6236">
              <w:rPr>
                <w:rFonts w:ascii="David" w:hAnsi="David" w:cs="David"/>
                <w:sz w:val="20"/>
                <w:szCs w:val="20"/>
                <w:rtl/>
              </w:rPr>
              <w:t xml:space="preserve">(סוטה דף </w:t>
            </w:r>
            <w:proofErr w:type="spellStart"/>
            <w:r w:rsidRPr="008B6236">
              <w:rPr>
                <w:rFonts w:ascii="David" w:hAnsi="David" w:cs="David"/>
                <w:sz w:val="20"/>
                <w:szCs w:val="20"/>
                <w:rtl/>
              </w:rPr>
              <w:t>יז</w:t>
            </w:r>
            <w:proofErr w:type="spellEnd"/>
            <w:r w:rsidRPr="008B6236">
              <w:rPr>
                <w:rFonts w:ascii="David" w:hAnsi="David" w:cs="David"/>
                <w:sz w:val="20"/>
                <w:szCs w:val="20"/>
                <w:rtl/>
              </w:rPr>
              <w:t xml:space="preserve"> ע"א).</w:t>
            </w:r>
          </w:p>
          <w:p w14:paraId="61CABDAB" w14:textId="77777777" w:rsidR="008B6236" w:rsidRPr="008B6236" w:rsidRDefault="008B6236" w:rsidP="008B6236">
            <w:pPr>
              <w:shd w:val="clear" w:color="auto" w:fill="FFFFFF"/>
              <w:rPr>
                <w:rFonts w:ascii="David" w:hAnsi="David" w:cs="David"/>
                <w:rtl/>
              </w:rPr>
            </w:pPr>
            <w:r w:rsidRPr="008B6236">
              <w:rPr>
                <w:rFonts w:ascii="David" w:hAnsi="David" w:cs="David"/>
                <w:rtl/>
              </w:rPr>
              <w:t>בפרשיות האחרונות מצינו דוגמאות לכאן ולכאן.</w:t>
            </w:r>
          </w:p>
          <w:p w14:paraId="39DB44C1"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מצד אחד, התפעלותו של בלעם הרשע: </w:t>
            </w:r>
            <w:r w:rsidRPr="008B6236">
              <w:rPr>
                <w:rFonts w:ascii="FrankRuehl" w:hAnsi="FrankRuehl" w:cs="FrankRuehl"/>
                <w:rtl/>
              </w:rPr>
              <w:t>"מַה טֹּבוּ </w:t>
            </w:r>
            <w:proofErr w:type="spellStart"/>
            <w:r w:rsidRPr="008B6236">
              <w:rPr>
                <w:rFonts w:ascii="FrankRuehl" w:hAnsi="FrankRuehl" w:cs="FrankRuehl"/>
                <w:b/>
                <w:bCs/>
                <w:rtl/>
              </w:rPr>
              <w:t>אֹהָלֶיך</w:t>
            </w:r>
            <w:proofErr w:type="spellEnd"/>
            <w:r w:rsidRPr="008B6236">
              <w:rPr>
                <w:rFonts w:ascii="FrankRuehl" w:hAnsi="FrankRuehl" w:cs="FrankRuehl"/>
                <w:b/>
                <w:bCs/>
                <w:rtl/>
              </w:rPr>
              <w:t>ָ</w:t>
            </w:r>
            <w:r w:rsidRPr="008B6236">
              <w:rPr>
                <w:rFonts w:ascii="FrankRuehl" w:hAnsi="FrankRuehl" w:cs="FrankRuehl"/>
                <w:rtl/>
              </w:rPr>
              <w:t> יַעֲקֹב </w:t>
            </w:r>
            <w:r w:rsidRPr="008B6236">
              <w:rPr>
                <w:rFonts w:ascii="FrankRuehl" w:hAnsi="FrankRuehl" w:cs="FrankRuehl"/>
                <w:b/>
                <w:bCs/>
                <w:rtl/>
              </w:rPr>
              <w:t>מִשְׁכְּנֹתֶיךָ</w:t>
            </w:r>
            <w:r w:rsidRPr="008B6236">
              <w:rPr>
                <w:rFonts w:ascii="FrankRuehl" w:hAnsi="FrankRuehl" w:cs="FrankRuehl"/>
                <w:rtl/>
              </w:rPr>
              <w:t xml:space="preserve"> יִשְׂרָאֵל" </w:t>
            </w:r>
            <w:r w:rsidRPr="008B6236">
              <w:rPr>
                <w:rFonts w:ascii="David" w:hAnsi="David" w:cs="David"/>
                <w:sz w:val="20"/>
                <w:szCs w:val="20"/>
                <w:rtl/>
              </w:rPr>
              <w:t>(במדבר כ"ד, ה).</w:t>
            </w:r>
            <w:r w:rsidRPr="008B6236">
              <w:rPr>
                <w:rFonts w:ascii="David" w:hAnsi="David" w:cs="David"/>
                <w:rtl/>
              </w:rPr>
              <w:t xml:space="preserve"> כשחיים באוהל בקדושה ובטהרה, הוא הופך להיות משכן לשכינה.</w:t>
            </w:r>
          </w:p>
          <w:p w14:paraId="2BE96EB7" w14:textId="77777777" w:rsidR="008B6236" w:rsidRPr="008B6236" w:rsidRDefault="008B6236" w:rsidP="008B6236">
            <w:pPr>
              <w:shd w:val="clear" w:color="auto" w:fill="FFFFFF"/>
              <w:rPr>
                <w:rFonts w:ascii="David" w:hAnsi="David" w:cs="David"/>
                <w:rtl/>
              </w:rPr>
            </w:pPr>
            <w:r w:rsidRPr="008B6236">
              <w:rPr>
                <w:rFonts w:ascii="David" w:hAnsi="David" w:cs="David"/>
                <w:rtl/>
              </w:rPr>
              <w:t>מצד שני, החטאת בני ישראל בבנות מואב וההצמדות (מלשון צמד) לבעל פעור בשיטים, מסמלים את הכיוון ההפוך.</w:t>
            </w:r>
          </w:p>
          <w:p w14:paraId="35492AB6" w14:textId="77777777" w:rsidR="008B6236" w:rsidRPr="008B6236" w:rsidRDefault="008B6236" w:rsidP="008B6236">
            <w:pPr>
              <w:shd w:val="clear" w:color="auto" w:fill="FFFFFF"/>
              <w:rPr>
                <w:rFonts w:ascii="David" w:hAnsi="David" w:cs="David"/>
                <w:rtl/>
              </w:rPr>
            </w:pPr>
            <w:r w:rsidRPr="008B6236">
              <w:rPr>
                <w:rFonts w:ascii="David" w:hAnsi="David" w:cs="David" w:hint="cs"/>
                <w:rtl/>
              </w:rPr>
              <w:t xml:space="preserve">בימי מלחמת מצווה החובה לצאת למלחמה היא הרמה הגבוהה ביותר, "אפילו חתן מחדרו וכלה מחופתה". החובה לשמור על קדושת המחנה גם היא עולה לרמה הגבוהה יותר. </w:t>
            </w:r>
          </w:p>
          <w:p w14:paraId="52F865DA" w14:textId="77777777" w:rsidR="008B6236" w:rsidRPr="008B6236" w:rsidRDefault="008B6236" w:rsidP="008B6236">
            <w:pPr>
              <w:shd w:val="clear" w:color="auto" w:fill="FFFFFF"/>
              <w:rPr>
                <w:rFonts w:ascii="David" w:hAnsi="David" w:cs="David"/>
                <w:sz w:val="12"/>
                <w:szCs w:val="12"/>
                <w:rtl/>
              </w:rPr>
            </w:pPr>
          </w:p>
          <w:p w14:paraId="1E683EF4" w14:textId="77777777" w:rsidR="008B6236" w:rsidRPr="008B6236" w:rsidRDefault="008B6236" w:rsidP="008B6236">
            <w:pPr>
              <w:shd w:val="clear" w:color="auto" w:fill="FFFFFF"/>
              <w:rPr>
                <w:rFonts w:ascii="David" w:hAnsi="David" w:cs="David"/>
                <w:rtl/>
              </w:rPr>
            </w:pPr>
            <w:r w:rsidRPr="008B6236">
              <w:rPr>
                <w:rFonts w:ascii="David" w:hAnsi="David" w:cs="David"/>
                <w:rtl/>
              </w:rPr>
              <w:t>ננסה בדברינו להציע הסבר חדש לתוכחה שהוכיח אוריה את דוד, תוך שימוש ברמזים מסוג זה.</w:t>
            </w:r>
          </w:p>
          <w:p w14:paraId="2043D98E"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כאשר דוד המלך ניסה לשלוח שוב ושוב את אוריה לביתו, ענה אוריה לדוד בתשובה חריפה וגם זהירה, דברים נכוחים וברורים אבל בלי להיכנס למלכודת של "מורד במלכות". הוא פתח את דבריו במילים הבאות: </w:t>
            </w:r>
            <w:r w:rsidRPr="008B6236">
              <w:rPr>
                <w:rFonts w:ascii="FrankRuehl" w:hAnsi="FrankRuehl" w:cs="FrankRuehl"/>
                <w:sz w:val="25"/>
                <w:szCs w:val="25"/>
                <w:rtl/>
              </w:rPr>
              <w:t xml:space="preserve">"וַיֹּאמֶר אוּרִיָּה אֶל דָּוִד הָאָרוֹן וְיִשְׂרָאֵל וִיהוּדָה יֹשְׁבִים בַּסֻּכּוֹת" </w:t>
            </w:r>
            <w:r w:rsidRPr="008B6236">
              <w:rPr>
                <w:rFonts w:ascii="David" w:hAnsi="David" w:cs="David"/>
                <w:sz w:val="20"/>
                <w:szCs w:val="20"/>
                <w:rtl/>
              </w:rPr>
              <w:t>(שמואל ב י"א, יא).</w:t>
            </w:r>
          </w:p>
          <w:p w14:paraId="65FDD7ED"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חז"ל בירושלמי שאלו: "והלא ארון בציון היה? ..."ותרצו: "סכך (=סוכות) שהיה בקירוי שעדיין לא נבנה בית הבחירה" </w:t>
            </w:r>
            <w:r w:rsidRPr="008B6236">
              <w:rPr>
                <w:rFonts w:ascii="David" w:hAnsi="David" w:cs="David"/>
                <w:sz w:val="20"/>
                <w:szCs w:val="20"/>
                <w:rtl/>
              </w:rPr>
              <w:t xml:space="preserve">(מסכת סוטה פרק ח </w:t>
            </w:r>
            <w:proofErr w:type="spellStart"/>
            <w:r w:rsidRPr="008B6236">
              <w:rPr>
                <w:rFonts w:ascii="David" w:hAnsi="David" w:cs="David"/>
                <w:sz w:val="20"/>
                <w:szCs w:val="20"/>
                <w:rtl/>
              </w:rPr>
              <w:t>ה"ג</w:t>
            </w:r>
            <w:proofErr w:type="spellEnd"/>
            <w:r w:rsidRPr="008B6236">
              <w:rPr>
                <w:rFonts w:ascii="David" w:hAnsi="David" w:cs="David"/>
                <w:sz w:val="20"/>
                <w:szCs w:val="20"/>
                <w:rtl/>
              </w:rPr>
              <w:t>).</w:t>
            </w:r>
            <w:r w:rsidRPr="008B6236">
              <w:rPr>
                <w:rFonts w:ascii="David" w:hAnsi="David" w:cs="David"/>
                <w:rtl/>
              </w:rPr>
              <w:t xml:space="preserve"> (הארון היה בעיר דוד במבנה זמני - אהל- סוכה)</w:t>
            </w:r>
            <w:r w:rsidRPr="008B6236">
              <w:rPr>
                <w:rFonts w:ascii="David" w:hAnsi="David" w:cs="David" w:hint="cs"/>
                <w:rtl/>
              </w:rPr>
              <w:t>.</w:t>
            </w:r>
            <w:r w:rsidRPr="008B6236">
              <w:rPr>
                <w:rFonts w:ascii="David" w:hAnsi="David" w:cs="David"/>
                <w:rtl/>
              </w:rPr>
              <w:t xml:space="preserve"> </w:t>
            </w:r>
          </w:p>
          <w:p w14:paraId="565199E7" w14:textId="77777777" w:rsidR="008B6236" w:rsidRPr="008B6236" w:rsidRDefault="008B6236" w:rsidP="008B6236">
            <w:pPr>
              <w:shd w:val="clear" w:color="auto" w:fill="FFFFFF"/>
              <w:rPr>
                <w:rFonts w:ascii="David" w:hAnsi="David" w:cs="David"/>
                <w:rtl/>
              </w:rPr>
            </w:pPr>
            <w:r w:rsidRPr="008B6236">
              <w:rPr>
                <w:rFonts w:ascii="David" w:hAnsi="David" w:cs="David"/>
                <w:rtl/>
              </w:rPr>
              <w:t>לפי חז"ל, אוריה לא הזכיר את מיקום הארון מבחינה גאוגרפית, אלא התייחס למצב רוחני, ורצה לרמוז לדוד כי במעשהו הוא גרש את השכינה, כביכול, ואולי אפילו עיכב את בנין המקדש והכנסת הארון לקודש הקדשים.</w:t>
            </w:r>
          </w:p>
          <w:p w14:paraId="138A27F6"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נפרש שיחתנו, הארון הוא סמל להשכנת השכינה. </w:t>
            </w:r>
          </w:p>
          <w:p w14:paraId="362BB134"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ה"חומש השישי" מלמדנו כי השכנת השכינה על מחנה ישראל, שתלויה בקדושת המחנה שהארון מסמל, היא התנאי להצלחה במלחמה ולניצחון על משנאי הקב"ה - שונאי ישראל: </w:t>
            </w:r>
            <w:r w:rsidRPr="008B6236">
              <w:rPr>
                <w:rFonts w:ascii="FrankRuehl" w:hAnsi="FrankRuehl" w:cs="FrankRuehl"/>
                <w:sz w:val="25"/>
                <w:szCs w:val="25"/>
                <w:rtl/>
              </w:rPr>
              <w:t xml:space="preserve">"וַיְהִי </w:t>
            </w:r>
            <w:proofErr w:type="spellStart"/>
            <w:r w:rsidRPr="008B6236">
              <w:rPr>
                <w:rFonts w:ascii="FrankRuehl" w:hAnsi="FrankRuehl" w:cs="FrankRuehl"/>
                <w:sz w:val="25"/>
                <w:szCs w:val="25"/>
                <w:rtl/>
              </w:rPr>
              <w:t>בִּנְסֹע</w:t>
            </w:r>
            <w:proofErr w:type="spellEnd"/>
            <w:r w:rsidRPr="008B6236">
              <w:rPr>
                <w:rFonts w:ascii="FrankRuehl" w:hAnsi="FrankRuehl" w:cs="FrankRuehl"/>
                <w:sz w:val="25"/>
                <w:szCs w:val="25"/>
                <w:rtl/>
              </w:rPr>
              <w:t xml:space="preserve">ַ הָאָרֹן וַיֹּאמֶר מֹשֶׁה קוּמָה יְקֹוָק וְיָפֻצוּ אֹיְבֶיךָ וְיָנֻסוּ </w:t>
            </w:r>
            <w:proofErr w:type="spellStart"/>
            <w:r w:rsidRPr="008B6236">
              <w:rPr>
                <w:rFonts w:ascii="FrankRuehl" w:hAnsi="FrankRuehl" w:cs="FrankRuehl"/>
                <w:sz w:val="25"/>
                <w:szCs w:val="25"/>
                <w:rtl/>
              </w:rPr>
              <w:t>מְשַׂנְאֶיך</w:t>
            </w:r>
            <w:proofErr w:type="spellEnd"/>
            <w:r w:rsidRPr="008B6236">
              <w:rPr>
                <w:rFonts w:ascii="FrankRuehl" w:hAnsi="FrankRuehl" w:cs="FrankRuehl"/>
                <w:sz w:val="25"/>
                <w:szCs w:val="25"/>
                <w:rtl/>
              </w:rPr>
              <w:t>ָ מִפָּנֶיךָ: וּבְנֻחֹה יֹאמַר שׁוּבָה יְקֹוָק רִבְבוֹת אַלְפֵי יִשְׂרָאֵל" </w:t>
            </w:r>
            <w:r w:rsidRPr="008B6236">
              <w:rPr>
                <w:rFonts w:ascii="David" w:hAnsi="David" w:cs="David"/>
                <w:sz w:val="20"/>
                <w:szCs w:val="20"/>
                <w:rtl/>
              </w:rPr>
              <w:t>(במדבר י, לה-לו)</w:t>
            </w:r>
            <w:r w:rsidRPr="008B6236">
              <w:rPr>
                <w:rFonts w:ascii="David" w:hAnsi="David" w:cs="David"/>
                <w:rtl/>
              </w:rPr>
              <w:t>.</w:t>
            </w:r>
          </w:p>
          <w:p w14:paraId="4539F181" w14:textId="77777777" w:rsidR="008B6236" w:rsidRPr="008B6236" w:rsidRDefault="008B6236" w:rsidP="008B6236">
            <w:pPr>
              <w:shd w:val="clear" w:color="auto" w:fill="FFFFFF"/>
              <w:rPr>
                <w:rFonts w:ascii="David" w:hAnsi="David" w:cs="David"/>
                <w:sz w:val="20"/>
                <w:szCs w:val="20"/>
                <w:rtl/>
              </w:rPr>
            </w:pPr>
            <w:r w:rsidRPr="008B6236">
              <w:rPr>
                <w:rFonts w:ascii="David" w:hAnsi="David" w:cs="David"/>
                <w:rtl/>
              </w:rPr>
              <w:t>הכרובים שעליו, הם סמל להשכנת השכינה. כשפניהם איש אל אחיו</w:t>
            </w:r>
            <w:r w:rsidRPr="008B6236">
              <w:rPr>
                <w:rFonts w:ascii="David" w:hAnsi="David" w:cs="David" w:hint="cs"/>
                <w:rtl/>
              </w:rPr>
              <w:t>,</w:t>
            </w:r>
            <w:r w:rsidRPr="008B6236">
              <w:rPr>
                <w:rFonts w:ascii="David" w:hAnsi="David" w:cs="David"/>
                <w:rtl/>
              </w:rPr>
              <w:t xml:space="preserve"> משמעותו</w:t>
            </w:r>
            <w:r w:rsidRPr="008B6236">
              <w:rPr>
                <w:rFonts w:ascii="David" w:hAnsi="David" w:cs="David" w:hint="cs"/>
                <w:rtl/>
              </w:rPr>
              <w:t>:</w:t>
            </w:r>
            <w:r w:rsidRPr="008B6236">
              <w:rPr>
                <w:rFonts w:ascii="David" w:hAnsi="David" w:cs="David"/>
                <w:rtl/>
              </w:rPr>
              <w:t xml:space="preserve"> "ישראל עושים רצונו של מקום" </w:t>
            </w:r>
            <w:r w:rsidRPr="008B6236">
              <w:rPr>
                <w:rFonts w:ascii="David" w:hAnsi="David" w:cs="David"/>
                <w:sz w:val="20"/>
                <w:szCs w:val="20"/>
                <w:rtl/>
              </w:rPr>
              <w:t xml:space="preserve">(בבא </w:t>
            </w:r>
            <w:proofErr w:type="spellStart"/>
            <w:r w:rsidRPr="008B6236">
              <w:rPr>
                <w:rFonts w:ascii="David" w:hAnsi="David" w:cs="David"/>
                <w:sz w:val="20"/>
                <w:szCs w:val="20"/>
                <w:rtl/>
              </w:rPr>
              <w:t>בתרא</w:t>
            </w:r>
            <w:proofErr w:type="spellEnd"/>
            <w:r w:rsidRPr="008B6236">
              <w:rPr>
                <w:rFonts w:ascii="David" w:hAnsi="David" w:cs="David"/>
                <w:sz w:val="20"/>
                <w:szCs w:val="20"/>
                <w:rtl/>
              </w:rPr>
              <w:t xml:space="preserve"> דף </w:t>
            </w:r>
            <w:proofErr w:type="spellStart"/>
            <w:r w:rsidRPr="008B6236">
              <w:rPr>
                <w:rFonts w:ascii="David" w:hAnsi="David" w:cs="David"/>
                <w:sz w:val="20"/>
                <w:szCs w:val="20"/>
                <w:rtl/>
              </w:rPr>
              <w:t>צט</w:t>
            </w:r>
            <w:proofErr w:type="spellEnd"/>
            <w:r w:rsidRPr="008B6236">
              <w:rPr>
                <w:rFonts w:ascii="David" w:hAnsi="David" w:cs="David"/>
                <w:sz w:val="20"/>
                <w:szCs w:val="20"/>
                <w:rtl/>
              </w:rPr>
              <w:t xml:space="preserve"> ע"א).</w:t>
            </w:r>
            <w:r w:rsidRPr="008B6236">
              <w:rPr>
                <w:rFonts w:ascii="David" w:hAnsi="David" w:cs="David"/>
                <w:rtl/>
              </w:rPr>
              <w:t xml:space="preserve"> ויש בהם גם רמז לכך שיחסי אישות בקדושה ובטהרה הם בבחינת: "זכו שכינה עמהם" </w:t>
            </w:r>
            <w:r w:rsidRPr="008B6236">
              <w:rPr>
                <w:rFonts w:ascii="David" w:hAnsi="David" w:cs="David"/>
                <w:sz w:val="20"/>
                <w:szCs w:val="20"/>
                <w:rtl/>
              </w:rPr>
              <w:t>(עיינו יומא דף נד ע"א/ע"ב).</w:t>
            </w:r>
          </w:p>
          <w:p w14:paraId="5AF2C4FE" w14:textId="77777777" w:rsidR="008B6236" w:rsidRPr="008B6236" w:rsidRDefault="008B6236" w:rsidP="008B6236">
            <w:pPr>
              <w:shd w:val="clear" w:color="auto" w:fill="FFFFFF"/>
              <w:rPr>
                <w:rFonts w:ascii="FrankRuehl" w:hAnsi="FrankRuehl" w:cs="FrankRuehl"/>
                <w:sz w:val="25"/>
                <w:szCs w:val="25"/>
                <w:rtl/>
              </w:rPr>
            </w:pPr>
            <w:r w:rsidRPr="008B6236">
              <w:rPr>
                <w:rFonts w:ascii="David" w:hAnsi="David" w:cs="David"/>
                <w:rtl/>
              </w:rPr>
              <w:t xml:space="preserve">לאחר שאוריה הזכיר את הארון בפני עצמו, על כל מה שהוא מסמל, הוא הוסיף: </w:t>
            </w:r>
            <w:r w:rsidRPr="008B6236">
              <w:rPr>
                <w:rFonts w:ascii="FrankRuehl" w:hAnsi="FrankRuehl" w:cs="FrankRuehl"/>
                <w:sz w:val="25"/>
                <w:szCs w:val="25"/>
                <w:rtl/>
              </w:rPr>
              <w:t>"וְיִשְׂרָאֵל וִיהוּדָה יֹשְׁבִים בַּסֻּכּוֹת".</w:t>
            </w:r>
          </w:p>
          <w:p w14:paraId="2E7C2A07"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הציון של </w:t>
            </w:r>
            <w:r w:rsidRPr="008B6236">
              <w:rPr>
                <w:rFonts w:ascii="FrankRuehl" w:hAnsi="FrankRuehl" w:cs="FrankRuehl"/>
                <w:sz w:val="25"/>
                <w:szCs w:val="25"/>
                <w:rtl/>
              </w:rPr>
              <w:t>סֻּכּוֹת</w:t>
            </w:r>
            <w:r w:rsidRPr="008B6236">
              <w:rPr>
                <w:rFonts w:ascii="David" w:hAnsi="David" w:cs="David"/>
                <w:rtl/>
              </w:rPr>
              <w:t xml:space="preserve"> יתפרש, כי אוריה רמז לדוד על עניין השכנת השכינה.</w:t>
            </w:r>
          </w:p>
          <w:p w14:paraId="6C651BA4" w14:textId="77777777" w:rsidR="008B6236" w:rsidRPr="008B6236" w:rsidRDefault="008B6236" w:rsidP="008B6236">
            <w:pPr>
              <w:shd w:val="clear" w:color="auto" w:fill="FFFFFF"/>
              <w:rPr>
                <w:rFonts w:ascii="David" w:hAnsi="David" w:cs="David"/>
                <w:sz w:val="22"/>
                <w:szCs w:val="22"/>
                <w:rtl/>
              </w:rPr>
            </w:pPr>
            <w:r w:rsidRPr="008B6236">
              <w:rPr>
                <w:rFonts w:ascii="David" w:hAnsi="David" w:cs="David"/>
                <w:rtl/>
              </w:rPr>
              <w:t>הסוכה, גם היא, רמז למצב של ישיבה תחת כנפי השכינה, '</w:t>
            </w:r>
            <w:proofErr w:type="spellStart"/>
            <w:r w:rsidRPr="008B6236">
              <w:rPr>
                <w:rFonts w:ascii="David" w:hAnsi="David" w:cs="David"/>
                <w:rtl/>
              </w:rPr>
              <w:t>בצלא</w:t>
            </w:r>
            <w:proofErr w:type="spellEnd"/>
            <w:r w:rsidRPr="008B6236">
              <w:rPr>
                <w:rFonts w:ascii="David" w:hAnsi="David" w:cs="David"/>
                <w:rtl/>
              </w:rPr>
              <w:t xml:space="preserve"> </w:t>
            </w:r>
            <w:proofErr w:type="spellStart"/>
            <w:r w:rsidRPr="008B6236">
              <w:rPr>
                <w:rFonts w:ascii="David" w:hAnsi="David" w:cs="David"/>
                <w:rtl/>
              </w:rPr>
              <w:t>דמהימנותא</w:t>
            </w:r>
            <w:proofErr w:type="spellEnd"/>
            <w:r w:rsidRPr="008B6236">
              <w:rPr>
                <w:rFonts w:ascii="David" w:hAnsi="David" w:cs="David"/>
                <w:rtl/>
              </w:rPr>
              <w:t xml:space="preserve">', תחת ענני הכבוד </w:t>
            </w:r>
            <w:r w:rsidRPr="008B6236">
              <w:rPr>
                <w:rFonts w:ascii="David" w:hAnsi="David" w:cs="David"/>
                <w:sz w:val="22"/>
                <w:szCs w:val="22"/>
                <w:rtl/>
              </w:rPr>
              <w:t>(הקשר בין הסוכה, ענני הכבוד והשכנת השכינה מפורש בנבואת ישעיהו פרק ד' ה-ו</w:t>
            </w:r>
            <w:r w:rsidRPr="008B6236">
              <w:rPr>
                <w:rFonts w:ascii="David" w:hAnsi="David" w:cs="David" w:hint="cs"/>
                <w:sz w:val="22"/>
                <w:szCs w:val="22"/>
                <w:rtl/>
              </w:rPr>
              <w:t>).</w:t>
            </w:r>
            <w:r w:rsidRPr="008B6236">
              <w:rPr>
                <w:rFonts w:ascii="David" w:hAnsi="David" w:cs="David"/>
                <w:sz w:val="22"/>
                <w:szCs w:val="22"/>
                <w:rtl/>
              </w:rPr>
              <w:t xml:space="preserve"> </w:t>
            </w:r>
          </w:p>
          <w:p w14:paraId="7DE25F41"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זהו הענן שהיה קשור מעל </w:t>
            </w:r>
            <w:proofErr w:type="spellStart"/>
            <w:r w:rsidRPr="008B6236">
              <w:rPr>
                <w:rFonts w:ascii="David" w:hAnsi="David" w:cs="David"/>
                <w:rtl/>
              </w:rPr>
              <w:t>לאהלה</w:t>
            </w:r>
            <w:proofErr w:type="spellEnd"/>
            <w:r w:rsidRPr="008B6236">
              <w:rPr>
                <w:rFonts w:ascii="David" w:hAnsi="David" w:cs="David"/>
                <w:rtl/>
              </w:rPr>
              <w:t xml:space="preserve"> של שרה אמנו</w:t>
            </w:r>
            <w:r w:rsidRPr="008B6236">
              <w:rPr>
                <w:rFonts w:ascii="David" w:hAnsi="David" w:cs="David" w:hint="cs"/>
                <w:rtl/>
              </w:rPr>
              <w:t>,</w:t>
            </w:r>
            <w:r w:rsidRPr="008B6236">
              <w:rPr>
                <w:rFonts w:ascii="David" w:hAnsi="David" w:cs="David"/>
                <w:rtl/>
              </w:rPr>
              <w:t xml:space="preserve"> ומאז כל משפחה יהודית שואפת לכך </w:t>
            </w:r>
            <w:proofErr w:type="spellStart"/>
            <w:r w:rsidRPr="008B6236">
              <w:rPr>
                <w:rFonts w:ascii="David" w:hAnsi="David" w:cs="David"/>
                <w:rtl/>
              </w:rPr>
              <w:t>שה'יוד</w:t>
            </w:r>
            <w:proofErr w:type="spellEnd"/>
            <w:r w:rsidRPr="008B6236">
              <w:rPr>
                <w:rFonts w:ascii="David" w:hAnsi="David" w:cs="David"/>
                <w:rtl/>
              </w:rPr>
              <w:t xml:space="preserve">' של האיש תתחבר ל'הא' של </w:t>
            </w:r>
            <w:proofErr w:type="spellStart"/>
            <w:r w:rsidRPr="008B6236">
              <w:rPr>
                <w:rFonts w:ascii="David" w:hAnsi="David" w:cs="David"/>
                <w:rtl/>
              </w:rPr>
              <w:t>האשה</w:t>
            </w:r>
            <w:proofErr w:type="spellEnd"/>
            <w:r w:rsidRPr="008B6236">
              <w:rPr>
                <w:rFonts w:ascii="David" w:hAnsi="David" w:cs="David"/>
                <w:rtl/>
              </w:rPr>
              <w:t>.</w:t>
            </w:r>
          </w:p>
          <w:p w14:paraId="706D4A67" w14:textId="77777777" w:rsidR="008B6236" w:rsidRPr="008B6236" w:rsidRDefault="008B6236" w:rsidP="008B6236">
            <w:pPr>
              <w:shd w:val="clear" w:color="auto" w:fill="FFFFFF"/>
              <w:rPr>
                <w:rFonts w:ascii="David" w:hAnsi="David" w:cs="David"/>
                <w:rtl/>
              </w:rPr>
            </w:pPr>
            <w:r w:rsidRPr="008B6236">
              <w:rPr>
                <w:rFonts w:ascii="David" w:hAnsi="David" w:cs="David"/>
                <w:rtl/>
              </w:rPr>
              <w:t xml:space="preserve">אוריה שלח מסר לדוד כי מעשהו רחוק כרחוק מזרח ממערב, ממה שסימלו הארון והכרובים שעליו. בתוכחתו הוא זעק: המעשה שעשית </w:t>
            </w:r>
            <w:r w:rsidRPr="008B6236">
              <w:rPr>
                <w:rFonts w:ascii="David" w:hAnsi="David" w:cs="David" w:hint="cs"/>
                <w:rtl/>
              </w:rPr>
              <w:t xml:space="preserve">לא </w:t>
            </w:r>
            <w:r w:rsidRPr="008B6236">
              <w:rPr>
                <w:rFonts w:ascii="David" w:hAnsi="David" w:cs="David"/>
                <w:rtl/>
              </w:rPr>
              <w:t>משתלב ברעיון של קדושת המחנה, לא בניסיון להשכין שכינה ו</w:t>
            </w:r>
            <w:r w:rsidRPr="008B6236">
              <w:rPr>
                <w:rFonts w:ascii="David" w:hAnsi="David" w:cs="David" w:hint="cs"/>
                <w:rtl/>
              </w:rPr>
              <w:t xml:space="preserve">גם </w:t>
            </w:r>
            <w:r w:rsidRPr="008B6236">
              <w:rPr>
                <w:rFonts w:ascii="David" w:hAnsi="David" w:cs="David"/>
                <w:rtl/>
              </w:rPr>
              <w:t>לא בתוכניות לבנות את המקדש</w:t>
            </w:r>
            <w:r w:rsidRPr="008B6236">
              <w:rPr>
                <w:rFonts w:ascii="David" w:hAnsi="David" w:cs="David" w:hint="cs"/>
                <w:rtl/>
              </w:rPr>
              <w:t xml:space="preserve">!! </w:t>
            </w:r>
          </w:p>
          <w:p w14:paraId="0E52E820" w14:textId="77777777" w:rsidR="008B6236" w:rsidRDefault="008B6236" w:rsidP="008B6236">
            <w:pPr>
              <w:shd w:val="clear" w:color="auto" w:fill="FFFFFF"/>
              <w:rPr>
                <w:rFonts w:ascii="David" w:hAnsi="David" w:cs="David"/>
                <w:rtl/>
              </w:rPr>
            </w:pPr>
            <w:r w:rsidRPr="008B6236">
              <w:rPr>
                <w:rFonts w:ascii="David" w:hAnsi="David" w:cs="David"/>
                <w:rtl/>
              </w:rPr>
              <w:t>בשלב זה, דוד עדיין לא היה מוכן לשמוע את הזעקה</w:t>
            </w:r>
            <w:r w:rsidRPr="008B6236">
              <w:rPr>
                <w:rFonts w:ascii="David" w:hAnsi="David" w:cs="David" w:hint="cs"/>
                <w:rtl/>
              </w:rPr>
              <w:t xml:space="preserve">. </w:t>
            </w:r>
          </w:p>
          <w:p w14:paraId="2BCC531F" w14:textId="23765977" w:rsidR="008B6236" w:rsidRPr="008B6236" w:rsidRDefault="008B6236" w:rsidP="008B6236">
            <w:pPr>
              <w:shd w:val="clear" w:color="auto" w:fill="FFFFFF"/>
              <w:rPr>
                <w:rFonts w:ascii="David" w:hAnsi="David" w:cs="David"/>
                <w:sz w:val="22"/>
                <w:szCs w:val="22"/>
                <w:rtl/>
              </w:rPr>
            </w:pPr>
            <w:r w:rsidRPr="008B6236">
              <w:rPr>
                <w:rFonts w:ascii="David" w:hAnsi="David" w:cs="David"/>
                <w:sz w:val="22"/>
                <w:szCs w:val="22"/>
                <w:rtl/>
              </w:rPr>
              <w:t xml:space="preserve">(עיינו  בספרי "צפנת ישעיהו" על פסוקים אלה, עמ' 131. </w:t>
            </w:r>
            <w:r w:rsidRPr="008B6236">
              <w:rPr>
                <w:rFonts w:ascii="David" w:hAnsi="David" w:cs="David" w:hint="cs"/>
                <w:sz w:val="22"/>
                <w:szCs w:val="22"/>
                <w:rtl/>
              </w:rPr>
              <w:t>ובאופן מפורט</w:t>
            </w:r>
            <w:r w:rsidRPr="008B6236">
              <w:rPr>
                <w:rFonts w:ascii="David" w:hAnsi="David" w:cs="David"/>
                <w:sz w:val="22"/>
                <w:szCs w:val="22"/>
                <w:rtl/>
              </w:rPr>
              <w:t xml:space="preserve"> בספרי "צפנת שמואל" חלק ב', עמודים 132-133</w:t>
            </w:r>
            <w:r w:rsidRPr="008B6236">
              <w:rPr>
                <w:rFonts w:ascii="David" w:hAnsi="David" w:cs="David" w:hint="cs"/>
                <w:sz w:val="22"/>
                <w:szCs w:val="22"/>
                <w:rtl/>
              </w:rPr>
              <w:t xml:space="preserve">. </w:t>
            </w:r>
            <w:r w:rsidRPr="008B6236">
              <w:rPr>
                <w:rFonts w:ascii="David" w:hAnsi="David" w:cs="David"/>
                <w:sz w:val="22"/>
                <w:szCs w:val="22"/>
                <w:rtl/>
              </w:rPr>
              <w:t xml:space="preserve">ניתן </w:t>
            </w:r>
            <w:r w:rsidRPr="008B6236">
              <w:rPr>
                <w:rFonts w:ascii="David" w:hAnsi="David" w:cs="David" w:hint="cs"/>
                <w:sz w:val="22"/>
                <w:szCs w:val="22"/>
                <w:rtl/>
              </w:rPr>
              <w:t>לקבל את החומרים ע"י מ</w:t>
            </w:r>
            <w:r w:rsidRPr="008B6236">
              <w:rPr>
                <w:rFonts w:ascii="David" w:hAnsi="David" w:cs="David"/>
                <w:sz w:val="22"/>
                <w:szCs w:val="22"/>
                <w:rtl/>
              </w:rPr>
              <w:t xml:space="preserve">שלוח </w:t>
            </w:r>
            <w:r w:rsidRPr="008B6236">
              <w:rPr>
                <w:rFonts w:ascii="David" w:hAnsi="David" w:cs="David" w:hint="cs"/>
                <w:sz w:val="22"/>
                <w:szCs w:val="22"/>
                <w:rtl/>
              </w:rPr>
              <w:t>דוא"ל</w:t>
            </w:r>
            <w:r w:rsidRPr="008B6236">
              <w:rPr>
                <w:rFonts w:ascii="David" w:hAnsi="David" w:cs="David"/>
                <w:sz w:val="22"/>
                <w:szCs w:val="22"/>
                <w:rtl/>
              </w:rPr>
              <w:t xml:space="preserve"> ל</w:t>
            </w:r>
            <w:r w:rsidRPr="008B6236">
              <w:rPr>
                <w:rFonts w:ascii="David" w:hAnsi="David" w:cs="David" w:hint="cs"/>
                <w:sz w:val="22"/>
                <w:szCs w:val="22"/>
                <w:rtl/>
              </w:rPr>
              <w:t>:</w:t>
            </w:r>
            <w:r w:rsidRPr="008B6236">
              <w:rPr>
                <w:rFonts w:ascii="David" w:hAnsi="David" w:cs="David"/>
                <w:sz w:val="22"/>
                <w:szCs w:val="22"/>
              </w:rPr>
              <w:t xml:space="preserve">info@eretzhemdah.org </w:t>
            </w:r>
            <w:r w:rsidRPr="008B6236">
              <w:rPr>
                <w:rFonts w:ascii="David" w:hAnsi="David" w:cs="David"/>
                <w:sz w:val="22"/>
                <w:szCs w:val="22"/>
                <w:rtl/>
              </w:rPr>
              <w:t>).</w:t>
            </w:r>
          </w:p>
          <w:p w14:paraId="589D8FEC" w14:textId="77777777" w:rsidR="008B6236" w:rsidRPr="008B6236" w:rsidRDefault="008B6236" w:rsidP="008B6236">
            <w:pPr>
              <w:shd w:val="clear" w:color="auto" w:fill="FFFFFF"/>
              <w:rPr>
                <w:rFonts w:ascii="David" w:hAnsi="David" w:cs="David"/>
                <w:rtl/>
              </w:rPr>
            </w:pPr>
            <w:r w:rsidRPr="008B6236">
              <w:rPr>
                <w:rFonts w:ascii="David" w:hAnsi="David" w:cs="David"/>
                <w:rtl/>
              </w:rPr>
              <w:t> </w:t>
            </w:r>
          </w:p>
          <w:p w14:paraId="2FA72B66" w14:textId="77777777" w:rsidR="008B6236" w:rsidRPr="008B6236" w:rsidRDefault="008B6236" w:rsidP="008B6236">
            <w:pPr>
              <w:shd w:val="clear" w:color="auto" w:fill="FFFFFF"/>
              <w:jc w:val="center"/>
              <w:rPr>
                <w:rFonts w:ascii="David" w:hAnsi="David" w:cs="David"/>
                <w:rtl/>
              </w:rPr>
            </w:pPr>
            <w:r w:rsidRPr="008B6236">
              <w:rPr>
                <w:rFonts w:ascii="David" w:hAnsi="David" w:cs="David"/>
                <w:rtl/>
              </w:rPr>
              <w:t>הבה נתפלל כי נזכה לעוד בתים יהודיים, של איש ואשה ש</w:t>
            </w:r>
            <w:r w:rsidRPr="008B6236">
              <w:rPr>
                <w:rFonts w:ascii="David" w:hAnsi="David" w:cs="David" w:hint="cs"/>
                <w:rtl/>
              </w:rPr>
              <w:t>ה</w:t>
            </w:r>
            <w:r w:rsidRPr="008B6236">
              <w:rPr>
                <w:rFonts w:ascii="David" w:hAnsi="David" w:cs="David"/>
                <w:rtl/>
              </w:rPr>
              <w:t>ענן קשור על ביתם.</w:t>
            </w:r>
          </w:p>
          <w:p w14:paraId="3B38B9A7" w14:textId="77777777" w:rsidR="008B6236" w:rsidRPr="008B6236" w:rsidRDefault="008B6236" w:rsidP="008B6236">
            <w:pPr>
              <w:spacing w:line="276" w:lineRule="auto"/>
              <w:jc w:val="center"/>
              <w:rPr>
                <w:rFonts w:ascii="David" w:eastAsia="Calibri" w:hAnsi="David" w:cs="David"/>
              </w:rPr>
            </w:pPr>
            <w:r w:rsidRPr="008B6236">
              <w:rPr>
                <w:rFonts w:ascii="David" w:hAnsi="David" w:cs="David"/>
                <w:rtl/>
              </w:rPr>
              <w:t>נוסיף ונתפלל כי קדושת המחנה תקבל מקום</w:t>
            </w:r>
            <w:r w:rsidRPr="008B6236">
              <w:rPr>
                <w:rFonts w:ascii="David" w:hAnsi="David" w:cs="David" w:hint="cs"/>
                <w:rtl/>
              </w:rPr>
              <w:t>,</w:t>
            </w:r>
            <w:r w:rsidRPr="008B6236">
              <w:rPr>
                <w:rFonts w:ascii="David" w:hAnsi="David" w:cs="David"/>
                <w:rtl/>
              </w:rPr>
              <w:t xml:space="preserve"> עוד יותר חשוב</w:t>
            </w:r>
            <w:r w:rsidRPr="008B6236">
              <w:rPr>
                <w:rFonts w:ascii="David" w:hAnsi="David" w:cs="David" w:hint="cs"/>
                <w:rtl/>
              </w:rPr>
              <w:t>,</w:t>
            </w:r>
            <w:r w:rsidRPr="008B6236">
              <w:rPr>
                <w:rFonts w:ascii="David" w:hAnsi="David" w:cs="David"/>
                <w:rtl/>
              </w:rPr>
              <w:t xml:space="preserve"> בשיקולי הרשויות ו</w:t>
            </w:r>
            <w:r w:rsidRPr="008B6236">
              <w:rPr>
                <w:rFonts w:ascii="David" w:hAnsi="David" w:cs="David" w:hint="cs"/>
                <w:rtl/>
              </w:rPr>
              <w:t xml:space="preserve">גם אצל </w:t>
            </w:r>
            <w:r w:rsidRPr="008B6236">
              <w:rPr>
                <w:rFonts w:ascii="David" w:hAnsi="David" w:cs="David"/>
                <w:rtl/>
              </w:rPr>
              <w:t>מפקדי הצבא.</w:t>
            </w:r>
          </w:p>
          <w:p w14:paraId="1EAD783B" w14:textId="70C0FF73" w:rsidR="00EF15C8" w:rsidRPr="008B6236" w:rsidRDefault="00EF15C8" w:rsidP="00EF15C8"/>
          <w:p w14:paraId="5F773BFF" w14:textId="75234814" w:rsidR="009C1995" w:rsidRDefault="008E207D" w:rsidP="00FA4750">
            <w:pPr>
              <w:spacing w:line="480" w:lineRule="auto"/>
              <w:jc w:val="center"/>
              <w:rPr>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7D347D3" w:rsidR="00D51BFC" w:rsidRPr="009F5FF5" w:rsidRDefault="00D51BFC" w:rsidP="00D51BFC">
            <w:pPr>
              <w:spacing w:line="360" w:lineRule="auto"/>
              <w:jc w:val="center"/>
              <w:rPr>
                <w:rFonts w:ascii="David" w:hAnsi="David" w:cs="David"/>
                <w:color w:val="0000FF"/>
                <w:sz w:val="8"/>
                <w:szCs w:val="8"/>
                <w:u w:val="single"/>
                <w:rtl/>
              </w:rPr>
            </w:pPr>
          </w:p>
        </w:tc>
      </w:tr>
    </w:tbl>
    <w:bookmarkEnd w:id="1"/>
    <w:p w14:paraId="4D640159" w14:textId="691CA470" w:rsidR="007B7A4E" w:rsidRPr="00CD712C" w:rsidRDefault="00FA4750"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36627562">
            <wp:simplePos x="0" y="0"/>
            <wp:positionH relativeFrom="page">
              <wp:posOffset>-10160</wp:posOffset>
            </wp:positionH>
            <wp:positionV relativeFrom="paragraph">
              <wp:posOffset>7131685</wp:posOffset>
            </wp:positionV>
            <wp:extent cx="7513320" cy="220980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209800"/>
                    </a:xfrm>
                    <a:prstGeom prst="rect">
                      <a:avLst/>
                    </a:prstGeom>
                    <a:noFill/>
                  </pic:spPr>
                </pic:pic>
              </a:graphicData>
            </a:graphic>
            <wp14:sizeRelH relativeFrom="page">
              <wp14:pctWidth>0</wp14:pctWidth>
            </wp14:sizeRelH>
            <wp14:sizeRelV relativeFrom="page">
              <wp14:pctHeight>0</wp14:pctHeight>
            </wp14:sizeRelV>
          </wp:anchor>
        </w:drawing>
      </w:r>
    </w:p>
    <w:p w14:paraId="4BBF26B7" w14:textId="1B4DBE6B" w:rsidR="005C57F1" w:rsidRPr="00B22709" w:rsidRDefault="005C57F1" w:rsidP="00D51BFC">
      <w:pPr>
        <w:contextualSpacing/>
        <w:rPr>
          <w:rFonts w:ascii="Arial" w:eastAsia="Calibri" w:hAnsi="Arial" w:cs="Arial"/>
          <w:b/>
          <w:bCs/>
          <w:color w:val="C00000"/>
          <w:rtl/>
        </w:rPr>
      </w:pPr>
    </w:p>
    <w:tbl>
      <w:tblPr>
        <w:tblpPr w:leftFromText="180" w:rightFromText="180" w:vertAnchor="text" w:horzAnchor="margin" w:tblpY="-2776"/>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7"/>
        <w:gridCol w:w="122"/>
        <w:gridCol w:w="709"/>
        <w:gridCol w:w="846"/>
        <w:gridCol w:w="148"/>
        <w:gridCol w:w="160"/>
        <w:gridCol w:w="270"/>
        <w:gridCol w:w="149"/>
        <w:gridCol w:w="553"/>
        <w:gridCol w:w="286"/>
        <w:gridCol w:w="713"/>
        <w:gridCol w:w="13"/>
        <w:gridCol w:w="266"/>
        <w:gridCol w:w="1427"/>
        <w:gridCol w:w="271"/>
        <w:gridCol w:w="144"/>
        <w:gridCol w:w="302"/>
        <w:gridCol w:w="843"/>
        <w:gridCol w:w="1265"/>
        <w:gridCol w:w="148"/>
        <w:gridCol w:w="293"/>
      </w:tblGrid>
      <w:tr w:rsidR="009C178E" w:rsidRPr="00A6414A" w14:paraId="2DCEE898" w14:textId="77777777" w:rsidTr="00FA4750">
        <w:trPr>
          <w:trHeight w:val="273"/>
        </w:trPr>
        <w:tc>
          <w:tcPr>
            <w:tcW w:w="3792" w:type="dxa"/>
            <w:gridSpan w:val="6"/>
            <w:tcMar>
              <w:top w:w="0" w:type="dxa"/>
              <w:left w:w="108" w:type="dxa"/>
              <w:bottom w:w="0" w:type="dxa"/>
              <w:right w:w="108" w:type="dxa"/>
            </w:tcMar>
            <w:vAlign w:val="center"/>
          </w:tcPr>
          <w:p w14:paraId="4BD4BC42" w14:textId="6BD71270" w:rsidR="009C178E" w:rsidRPr="00A6414A" w:rsidRDefault="009C178E" w:rsidP="00FA4750">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FA4750">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FA4750">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8"/>
            <w:vAlign w:val="center"/>
          </w:tcPr>
          <w:p w14:paraId="013372FC" w14:textId="77777777" w:rsidR="009C178E" w:rsidRPr="00A6414A" w:rsidRDefault="009C178E" w:rsidP="00FA4750">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FA4750">
        <w:trPr>
          <w:trHeight w:val="273"/>
        </w:trPr>
        <w:tc>
          <w:tcPr>
            <w:tcW w:w="1816" w:type="dxa"/>
            <w:tcMar>
              <w:top w:w="0" w:type="dxa"/>
              <w:left w:w="108" w:type="dxa"/>
              <w:bottom w:w="0" w:type="dxa"/>
              <w:right w:w="108" w:type="dxa"/>
            </w:tcMar>
            <w:vAlign w:val="center"/>
          </w:tcPr>
          <w:p w14:paraId="75BDC7CA" w14:textId="2531231C" w:rsidR="009C178E" w:rsidRPr="00A6414A" w:rsidRDefault="009C178E" w:rsidP="00FA4750">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9"/>
            <w:vAlign w:val="center"/>
          </w:tcPr>
          <w:p w14:paraId="69CB3161" w14:textId="666AFDCE" w:rsidR="009C178E" w:rsidRPr="00A6414A" w:rsidRDefault="009C178E" w:rsidP="00FA4750">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3"/>
            <w:vAlign w:val="center"/>
          </w:tcPr>
          <w:p w14:paraId="2CF4612E" w14:textId="77777777" w:rsidR="009C178E" w:rsidRPr="00A6414A" w:rsidRDefault="009C178E" w:rsidP="00FA4750">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FA4750">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3"/>
            <w:vAlign w:val="center"/>
          </w:tcPr>
          <w:p w14:paraId="762A3FF4"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4CA80065"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FA4750">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FA4750">
        <w:trPr>
          <w:trHeight w:val="427"/>
        </w:trPr>
        <w:tc>
          <w:tcPr>
            <w:tcW w:w="2237" w:type="dxa"/>
            <w:gridSpan w:val="4"/>
            <w:tcMar>
              <w:top w:w="0" w:type="dxa"/>
              <w:left w:w="108" w:type="dxa"/>
              <w:bottom w:w="0" w:type="dxa"/>
              <w:right w:w="108" w:type="dxa"/>
            </w:tcMar>
            <w:vAlign w:val="center"/>
            <w:hideMark/>
          </w:tcPr>
          <w:p w14:paraId="559E6711" w14:textId="174AD3C4" w:rsidR="009C178E" w:rsidRPr="00A6414A" w:rsidRDefault="009C178E" w:rsidP="00FA4750">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FA4750">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FA4750">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7"/>
            <w:vAlign w:val="center"/>
            <w:hideMark/>
          </w:tcPr>
          <w:p w14:paraId="0090ED7A" w14:textId="77777777" w:rsidR="009C178E" w:rsidRPr="00A6414A" w:rsidRDefault="009C178E" w:rsidP="00FA4750">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5021826C" w14:textId="77777777" w:rsidR="009C178E" w:rsidRPr="00A6414A" w:rsidRDefault="009C178E" w:rsidP="00FA4750">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FA4750">
        <w:trPr>
          <w:trHeight w:val="431"/>
        </w:trPr>
        <w:tc>
          <w:tcPr>
            <w:tcW w:w="2098" w:type="dxa"/>
            <w:gridSpan w:val="2"/>
            <w:tcMar>
              <w:top w:w="0" w:type="dxa"/>
              <w:left w:w="108" w:type="dxa"/>
              <w:bottom w:w="0" w:type="dxa"/>
              <w:right w:w="108" w:type="dxa"/>
            </w:tcMar>
            <w:vAlign w:val="center"/>
          </w:tcPr>
          <w:p w14:paraId="584E5880" w14:textId="5710E814"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FA4750">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FA4750">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FA4750">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FA4750">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5"/>
            <w:tcMar>
              <w:top w:w="0" w:type="dxa"/>
              <w:left w:w="108" w:type="dxa"/>
              <w:bottom w:w="0" w:type="dxa"/>
              <w:right w:w="108" w:type="dxa"/>
            </w:tcMar>
            <w:vAlign w:val="center"/>
          </w:tcPr>
          <w:p w14:paraId="14ACFE87"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FA4750">
        <w:trPr>
          <w:trHeight w:val="453"/>
        </w:trPr>
        <w:tc>
          <w:tcPr>
            <w:tcW w:w="2946" w:type="dxa"/>
            <w:gridSpan w:val="5"/>
            <w:vAlign w:val="center"/>
            <w:hideMark/>
          </w:tcPr>
          <w:p w14:paraId="3530C4B7" w14:textId="4F25B1DF" w:rsidR="009C178E" w:rsidRPr="00035272" w:rsidRDefault="009C178E" w:rsidP="00FA4750">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FA4750">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FA4750">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4426683E" w14:textId="77777777" w:rsidR="009C178E" w:rsidRPr="00A6414A" w:rsidRDefault="009C178E" w:rsidP="00FA4750">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FA4750">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2E2E9753" w14:textId="77777777" w:rsidR="009C178E" w:rsidRPr="00A6414A" w:rsidRDefault="009C178E" w:rsidP="00FA4750">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FA4750">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6"/>
            <w:vAlign w:val="center"/>
          </w:tcPr>
          <w:p w14:paraId="023FD8DE" w14:textId="77777777" w:rsidR="009C178E" w:rsidRPr="00035272" w:rsidRDefault="009C178E" w:rsidP="00FA4750">
            <w:pPr>
              <w:contextualSpacing/>
              <w:jc w:val="center"/>
              <w:rPr>
                <w:rFonts w:ascii="David" w:eastAsia="Calibri" w:hAnsi="David" w:cs="David"/>
                <w:b/>
                <w:bCs/>
                <w:color w:val="002060"/>
                <w:sz w:val="6"/>
                <w:szCs w:val="6"/>
                <w:rtl/>
              </w:rPr>
            </w:pPr>
          </w:p>
          <w:p w14:paraId="666F6FD3" w14:textId="77777777" w:rsidR="009C178E" w:rsidRDefault="009C178E" w:rsidP="00FA4750">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FA4750">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FA4750">
            <w:pPr>
              <w:ind w:left="59" w:right="72"/>
              <w:jc w:val="center"/>
              <w:rPr>
                <w:rFonts w:ascii="Arial" w:hAnsi="Arial" w:cs="David"/>
                <w:sz w:val="19"/>
                <w:szCs w:val="19"/>
                <w:rtl/>
              </w:rPr>
            </w:pPr>
          </w:p>
        </w:tc>
      </w:tr>
      <w:tr w:rsidR="005860F8" w:rsidRPr="00A6414A" w14:paraId="536256E1" w14:textId="77777777" w:rsidTr="005860F8">
        <w:trPr>
          <w:trHeight w:val="404"/>
        </w:trPr>
        <w:tc>
          <w:tcPr>
            <w:tcW w:w="2115" w:type="dxa"/>
            <w:gridSpan w:val="3"/>
            <w:vAlign w:val="center"/>
          </w:tcPr>
          <w:p w14:paraId="4F5957C8" w14:textId="2DF8027B" w:rsidR="005860F8" w:rsidRPr="00A6414A" w:rsidRDefault="005860F8" w:rsidP="00FA4750">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5860F8" w:rsidRPr="00A6414A" w:rsidRDefault="005860F8" w:rsidP="00FA4750">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985" w:type="dxa"/>
            <w:gridSpan w:val="5"/>
            <w:vAlign w:val="center"/>
          </w:tcPr>
          <w:p w14:paraId="7EFE4108" w14:textId="77777777" w:rsidR="005860F8" w:rsidRPr="00A6414A" w:rsidRDefault="005860F8" w:rsidP="00FA4750">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5860F8" w:rsidRPr="00A6414A" w:rsidRDefault="005860F8" w:rsidP="00FA4750">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6"/>
            <w:vAlign w:val="center"/>
          </w:tcPr>
          <w:p w14:paraId="32168743" w14:textId="510E24A1" w:rsidR="005860F8" w:rsidRDefault="005860F8" w:rsidP="00FA4750">
            <w:pPr>
              <w:contextualSpacing/>
              <w:jc w:val="center"/>
              <w:rPr>
                <w:rFonts w:ascii="David" w:eastAsia="Calibri" w:hAnsi="David" w:cs="David"/>
                <w:b/>
                <w:bCs/>
                <w:color w:val="002060"/>
                <w:sz w:val="19"/>
                <w:szCs w:val="19"/>
                <w:rtl/>
              </w:rPr>
            </w:pPr>
            <w:r>
              <w:rPr>
                <w:rFonts w:ascii="David" w:eastAsia="Calibri" w:hAnsi="David" w:cs="David" w:hint="cs"/>
                <w:sz w:val="19"/>
                <w:szCs w:val="19"/>
                <w:rtl/>
              </w:rPr>
              <w:t>ג</w:t>
            </w:r>
            <w:r w:rsidRPr="005860F8">
              <w:rPr>
                <w:rFonts w:ascii="David" w:eastAsia="Calibri" w:hAnsi="David" w:cs="David" w:hint="cs"/>
                <w:sz w:val="19"/>
                <w:szCs w:val="19"/>
                <w:rtl/>
              </w:rPr>
              <w:t>ב'</w:t>
            </w:r>
            <w:r>
              <w:rPr>
                <w:rFonts w:ascii="David" w:eastAsia="Calibri" w:hAnsi="David" w:cs="David" w:hint="cs"/>
                <w:b/>
                <w:bCs/>
                <w:color w:val="002060"/>
                <w:sz w:val="19"/>
                <w:szCs w:val="19"/>
                <w:rtl/>
              </w:rPr>
              <w:t xml:space="preserve"> בלהה </w:t>
            </w:r>
            <w:proofErr w:type="spellStart"/>
            <w:r>
              <w:rPr>
                <w:rFonts w:ascii="David" w:eastAsia="Calibri" w:hAnsi="David" w:cs="David" w:hint="cs"/>
                <w:b/>
                <w:bCs/>
                <w:color w:val="002060"/>
                <w:sz w:val="19"/>
                <w:szCs w:val="19"/>
                <w:rtl/>
              </w:rPr>
              <w:t>מרמרוש</w:t>
            </w:r>
            <w:proofErr w:type="spellEnd"/>
          </w:p>
          <w:p w14:paraId="50DBF29F" w14:textId="36D8F902" w:rsidR="005860F8" w:rsidRPr="00D85D31" w:rsidRDefault="005860F8" w:rsidP="00FA4750">
            <w:pPr>
              <w:contextualSpacing/>
              <w:jc w:val="center"/>
              <w:rPr>
                <w:rFonts w:ascii="David" w:eastAsia="Calibri" w:hAnsi="David" w:cs="David"/>
                <w:b/>
                <w:bCs/>
                <w:color w:val="002060"/>
                <w:sz w:val="19"/>
                <w:szCs w:val="19"/>
                <w:rtl/>
              </w:rPr>
            </w:pPr>
            <w:r w:rsidRPr="005860F8">
              <w:rPr>
                <w:rFonts w:ascii="David" w:eastAsia="Calibri" w:hAnsi="David" w:cs="David" w:hint="cs"/>
                <w:sz w:val="19"/>
                <w:szCs w:val="19"/>
                <w:rtl/>
              </w:rPr>
              <w:t>א' באב</w:t>
            </w:r>
          </w:p>
        </w:tc>
        <w:tc>
          <w:tcPr>
            <w:tcW w:w="2410" w:type="dxa"/>
            <w:gridSpan w:val="5"/>
            <w:vAlign w:val="center"/>
          </w:tcPr>
          <w:p w14:paraId="587AD19F" w14:textId="77777777" w:rsidR="005860F8" w:rsidRPr="00A6414A" w:rsidRDefault="005860F8" w:rsidP="00FA4750">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5860F8" w:rsidRPr="00B24119" w:rsidRDefault="005860F8" w:rsidP="00FA4750">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108" w:type="dxa"/>
            <w:gridSpan w:val="2"/>
            <w:vAlign w:val="center"/>
          </w:tcPr>
          <w:p w14:paraId="739B31D2" w14:textId="77777777" w:rsidR="005860F8" w:rsidRPr="00A6414A" w:rsidRDefault="005860F8" w:rsidP="00FA4750">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5860F8" w:rsidRPr="00A6414A" w:rsidRDefault="005860F8" w:rsidP="00FA4750">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5860F8" w:rsidRPr="00A6414A" w:rsidRDefault="005860F8" w:rsidP="00FA4750">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5860F8" w:rsidRPr="00A6414A" w:rsidRDefault="005860F8" w:rsidP="00FA4750">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E10E0A" w:rsidP="00F33428">
      <w:pPr>
        <w:pStyle w:val="aff7"/>
        <w:spacing w:after="0" w:line="240" w:lineRule="auto"/>
        <w:ind w:left="0"/>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6329662D" w14:textId="2907C0AA" w:rsidR="00F56133" w:rsidRDefault="00020B5C" w:rsidP="00020B5C">
      <w:pPr>
        <w:contextualSpacing/>
        <w:rPr>
          <w:rFonts w:ascii="Calibri" w:eastAsia="Calibri" w:hAnsi="Calibri" w:cs="David"/>
          <w:b/>
          <w:bCs/>
          <w:sz w:val="28"/>
          <w:szCs w:val="28"/>
          <w:rtl/>
        </w:rPr>
      </w:pPr>
      <w:r>
        <w:rPr>
          <w:noProof/>
          <w:rtl/>
          <w:lang w:val="he-IL"/>
        </w:rPr>
        <w:lastRenderedPageBreak/>
        <w:drawing>
          <wp:inline distT="0" distB="0" distL="0" distR="0" wp14:anchorId="79D5C233" wp14:editId="18881059">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50F85D8A"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0FB1FCF4" w14:textId="77777777" w:rsidR="004670C4" w:rsidRPr="004670C4" w:rsidRDefault="004670C4" w:rsidP="004670C4">
      <w:pPr>
        <w:keepNext/>
        <w:keepLines/>
        <w:contextualSpacing/>
        <w:outlineLvl w:val="0"/>
        <w:rPr>
          <w:rFonts w:ascii="David" w:hAnsi="David" w:cs="David"/>
          <w:b/>
          <w:bCs/>
          <w:color w:val="0070C0"/>
          <w:sz w:val="32"/>
          <w:szCs w:val="32"/>
          <w:rtl/>
        </w:rPr>
      </w:pPr>
      <w:bookmarkStart w:id="4" w:name="_Hlk208479624"/>
      <w:bookmarkStart w:id="5" w:name="_Hlk208479582"/>
      <w:r w:rsidRPr="004670C4">
        <w:rPr>
          <w:rFonts w:ascii="David" w:hAnsi="David" w:cs="David" w:hint="cs"/>
          <w:b/>
          <w:bCs/>
          <w:color w:val="0070C0"/>
          <w:sz w:val="32"/>
          <w:szCs w:val="32"/>
          <w:rtl/>
        </w:rPr>
        <w:t>איסור שנגע בצלי</w:t>
      </w:r>
    </w:p>
    <w:p w14:paraId="3A41D5D0" w14:textId="77777777" w:rsidR="004670C4" w:rsidRPr="00E10E0A" w:rsidRDefault="004670C4" w:rsidP="004670C4">
      <w:pPr>
        <w:contextualSpacing/>
        <w:rPr>
          <w:rFonts w:ascii="David" w:hAnsi="David" w:cs="David"/>
          <w:sz w:val="12"/>
          <w:szCs w:val="12"/>
          <w:rtl/>
        </w:rPr>
      </w:pPr>
    </w:p>
    <w:p w14:paraId="0AB456BF"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בטורים האחרונים עסקנו בחום הדרוש בכדי שטעם יעבור וישפיע על מאכל. טרם ביררנו היכן האוכל משפיע.</w:t>
      </w:r>
    </w:p>
    <w:p w14:paraId="43708A1E"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לדוגמא: נניח שחמאה נופלת לסיר מרק עוף. המרק חם ואין אפשרות למצוא את החמאה, וממילא אנו מניחים שהחמאה מתערבבת ונותנת את טעמה באוכל שבסיר, וטעם זה כבר לא יסור. אך אם יש פי ששים מרק ביחס לחמאה, נאמר שטעמה בטל במרק.</w:t>
      </w:r>
    </w:p>
    <w:p w14:paraId="4F6F8B99"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אך אם נתח בשר נמצא על המנגל, וחמאה נופלת עליו, לכאורה צפוי שהחמאה תישאר ותשפיע על המקום עליו היא נפלה. דבר זה עשוי לגרור </w:t>
      </w:r>
      <w:proofErr w:type="spellStart"/>
      <w:r w:rsidRPr="004670C4">
        <w:rPr>
          <w:rFonts w:ascii="David" w:hAnsi="David" w:cs="David" w:hint="cs"/>
          <w:rtl/>
        </w:rPr>
        <w:t>קולא</w:t>
      </w:r>
      <w:proofErr w:type="spellEnd"/>
      <w:r w:rsidRPr="004670C4">
        <w:rPr>
          <w:rFonts w:ascii="David" w:hAnsi="David" w:cs="David" w:hint="cs"/>
          <w:rtl/>
        </w:rPr>
        <w:t xml:space="preserve"> וחומרה: מצד אחד, לכאורה החמאה אוסרת באופן מקומי, ויתר החתיכה לא תסייע לבטל את טעמה. בסיר בו האוכל מתבשל כל יתר האוכל בסיר נחלץ לסיוע בביטול החמאה שנפלה. אך בחתיכה אין הצדקה להניח שהאיסור בטל ביתר החתיכה. מנגד, לכאורה כשם שיתר החתיכה אינה משפיעה על החמאה, החמאה גם אינה משפיעה על יתר החתיכה. אם אין פי ששים בתבשיל יחסית לחמאה שנפלה, התבשיל כולו ייאסר. אך לכאורה ביחס לחתיכה צלויה אין סיבה לאסור את שאר החתיכה.</w:t>
      </w:r>
    </w:p>
    <w:p w14:paraId="054B393D"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במסכת חולין (דף צו ע"ב)</w:t>
      </w:r>
      <w:r w:rsidRPr="004670C4">
        <w:rPr>
          <w:rFonts w:ascii="David" w:hAnsi="David" w:cs="David" w:hint="cs"/>
        </w:rPr>
        <w:t xml:space="preserve"> </w:t>
      </w:r>
      <w:r w:rsidRPr="004670C4">
        <w:rPr>
          <w:rFonts w:ascii="David" w:hAnsi="David" w:cs="David" w:hint="cs"/>
          <w:rtl/>
        </w:rPr>
        <w:t>אומר שמואל שירך שנצלתה כמות שהיא, יחד עם גיד הנשה שבה, קולף עד שמגיע לגיד.</w:t>
      </w:r>
    </w:p>
    <w:p w14:paraId="31DF85AB"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מלשון הרמב"ם עולה שכאשר מדובר בצלייה, רק הקליפה (השכבה המינימלית שניתן להסיר אותה כחתיכה אחת) שסביב האיסור </w:t>
      </w:r>
      <w:proofErr w:type="spellStart"/>
      <w:r w:rsidRPr="004670C4">
        <w:rPr>
          <w:rFonts w:ascii="David" w:hAnsi="David" w:cs="David" w:hint="cs"/>
          <w:rtl/>
        </w:rPr>
        <w:t>תאסר</w:t>
      </w:r>
      <w:proofErr w:type="spellEnd"/>
      <w:r w:rsidRPr="004670C4">
        <w:rPr>
          <w:rFonts w:ascii="David" w:hAnsi="David" w:cs="David" w:hint="cs"/>
          <w:rtl/>
        </w:rPr>
        <w:t>. לכאורה משמע שאם חלב נופל על חתיכה שעל האש, יש לקלף את האזור עליו נפל החלב, ורק הוא ייאסר.</w:t>
      </w:r>
    </w:p>
    <w:p w14:paraId="6717C6E9" w14:textId="77777777" w:rsidR="004670C4" w:rsidRPr="004670C4" w:rsidRDefault="004670C4" w:rsidP="00E10E0A">
      <w:pPr>
        <w:spacing w:line="252" w:lineRule="auto"/>
        <w:contextualSpacing/>
        <w:rPr>
          <w:rFonts w:ascii="David" w:hAnsi="David" w:cs="David"/>
          <w:rtl/>
        </w:rPr>
      </w:pPr>
    </w:p>
    <w:p w14:paraId="1636D807"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אך </w:t>
      </w:r>
      <w:proofErr w:type="spellStart"/>
      <w:r w:rsidRPr="004670C4">
        <w:rPr>
          <w:rFonts w:ascii="David" w:hAnsi="David" w:cs="David" w:hint="cs"/>
          <w:rtl/>
        </w:rPr>
        <w:t>הרא"ש</w:t>
      </w:r>
      <w:proofErr w:type="spellEnd"/>
      <w:r w:rsidRPr="004670C4">
        <w:rPr>
          <w:rFonts w:ascii="David" w:hAnsi="David" w:cs="David" w:hint="cs"/>
          <w:rtl/>
        </w:rPr>
        <w:t xml:space="preserve"> מצטט את הגמרא במסכת פסחים (דף </w:t>
      </w:r>
      <w:proofErr w:type="spellStart"/>
      <w:r w:rsidRPr="004670C4">
        <w:rPr>
          <w:rFonts w:ascii="David" w:hAnsi="David" w:cs="David" w:hint="cs"/>
          <w:rtl/>
        </w:rPr>
        <w:t>עה</w:t>
      </w:r>
      <w:proofErr w:type="spellEnd"/>
      <w:r w:rsidRPr="004670C4">
        <w:rPr>
          <w:rFonts w:ascii="David" w:hAnsi="David" w:cs="David" w:hint="cs"/>
          <w:rtl/>
        </w:rPr>
        <w:t xml:space="preserve"> ע"ב). את קרבן הפסח יש לצלות, ללא נוזלים כלל. עד כדי כך שאם רוטב "קופץ" מהבשר עצמו לכלי בו צולים, וחזר אליו </w:t>
      </w:r>
      <w:r w:rsidRPr="004670C4">
        <w:rPr>
          <w:rFonts w:ascii="David" w:hAnsi="David" w:cs="David"/>
          <w:rtl/>
        </w:rPr>
        <w:t>–</w:t>
      </w:r>
      <w:r w:rsidRPr="004670C4">
        <w:rPr>
          <w:rFonts w:ascii="David" w:hAnsi="David" w:cs="David" w:hint="cs"/>
          <w:rtl/>
        </w:rPr>
        <w:t xml:space="preserve"> יש ליטול (לחתוך "כדי נטילה" </w:t>
      </w:r>
      <w:r w:rsidRPr="004670C4">
        <w:rPr>
          <w:rFonts w:ascii="David" w:hAnsi="David" w:cs="David"/>
          <w:rtl/>
        </w:rPr>
        <w:t>–</w:t>
      </w:r>
      <w:r w:rsidRPr="004670C4">
        <w:rPr>
          <w:rFonts w:ascii="David" w:hAnsi="David" w:cs="David" w:hint="cs"/>
          <w:rtl/>
        </w:rPr>
        <w:t xml:space="preserve"> כ-2 ס"מ) את הבשר הזה. שואל </w:t>
      </w:r>
      <w:proofErr w:type="spellStart"/>
      <w:r w:rsidRPr="004670C4">
        <w:rPr>
          <w:rFonts w:ascii="David" w:hAnsi="David" w:cs="David" w:hint="cs"/>
          <w:rtl/>
        </w:rPr>
        <w:t>הרא"ש</w:t>
      </w:r>
      <w:proofErr w:type="spellEnd"/>
      <w:r w:rsidRPr="004670C4">
        <w:rPr>
          <w:rFonts w:ascii="David" w:hAnsi="David" w:cs="David" w:hint="cs"/>
          <w:rtl/>
        </w:rPr>
        <w:t xml:space="preserve">: מדוע במסכת חולין משמע שדי בקליפה (2 מילימטרים בקירוב) ואילו במסכת פסחים מדובר על נטילה (2 סנטימטרים </w:t>
      </w:r>
      <w:r w:rsidRPr="004670C4">
        <w:rPr>
          <w:rFonts w:ascii="David" w:hAnsi="David" w:cs="David"/>
          <w:rtl/>
        </w:rPr>
        <w:t>–</w:t>
      </w:r>
      <w:r w:rsidRPr="004670C4">
        <w:rPr>
          <w:rFonts w:ascii="David" w:hAnsi="David" w:cs="David" w:hint="cs"/>
          <w:rtl/>
        </w:rPr>
        <w:t xml:space="preserve"> פי 10!)?</w:t>
      </w:r>
    </w:p>
    <w:p w14:paraId="510A2FED" w14:textId="77777777" w:rsidR="004670C4" w:rsidRPr="004670C4" w:rsidRDefault="004670C4" w:rsidP="00E10E0A">
      <w:pPr>
        <w:spacing w:line="252" w:lineRule="auto"/>
        <w:contextualSpacing/>
        <w:rPr>
          <w:rFonts w:ascii="David" w:hAnsi="David" w:cs="David"/>
          <w:rtl/>
        </w:rPr>
      </w:pPr>
      <w:proofErr w:type="spellStart"/>
      <w:r w:rsidRPr="004670C4">
        <w:rPr>
          <w:rFonts w:ascii="David" w:hAnsi="David" w:cs="David" w:hint="cs"/>
          <w:rtl/>
        </w:rPr>
        <w:t>הרא"ש</w:t>
      </w:r>
      <w:proofErr w:type="spellEnd"/>
      <w:r w:rsidRPr="004670C4">
        <w:rPr>
          <w:rFonts w:ascii="David" w:hAnsi="David" w:cs="David" w:hint="cs"/>
          <w:rtl/>
        </w:rPr>
        <w:t xml:space="preserve"> מציע שמא יש הבדל בין גיד הנשה, שהוא יבש מאוד, ולכן טעמו משפיע החוצה מעט, לעומת נוזלים שמחלחלים מעבר לקליפה. אך נטייתו היא לומר שבגמרא במסכת חולין יש תיאור של קילוף של הבשר, ואין ללמוד מכך על הכמות שנאסרה.</w:t>
      </w:r>
    </w:p>
    <w:p w14:paraId="0EDD7775"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מנגד, </w:t>
      </w:r>
      <w:proofErr w:type="spellStart"/>
      <w:r w:rsidRPr="004670C4">
        <w:rPr>
          <w:rFonts w:ascii="David" w:hAnsi="David" w:cs="David" w:hint="cs"/>
          <w:rtl/>
        </w:rPr>
        <w:t>הרשב"א</w:t>
      </w:r>
      <w:proofErr w:type="spellEnd"/>
      <w:r w:rsidRPr="004670C4">
        <w:rPr>
          <w:rFonts w:ascii="David" w:hAnsi="David" w:cs="David" w:hint="cs"/>
          <w:rtl/>
        </w:rPr>
        <w:t xml:space="preserve"> מגן על הרמב"ם ואומר שהמקרה של פסח הוא מקרה ייחודי, אבל ככלל יש לאסור קליפה בלבד.</w:t>
      </w:r>
    </w:p>
    <w:p w14:paraId="613C8D9B"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נסכם: שלוש שיטות בראשונים:</w:t>
      </w:r>
    </w:p>
    <w:p w14:paraId="6B1165CC" w14:textId="77777777" w:rsidR="004670C4" w:rsidRPr="004670C4" w:rsidRDefault="004670C4" w:rsidP="00E10E0A">
      <w:pPr>
        <w:numPr>
          <w:ilvl w:val="0"/>
          <w:numId w:val="40"/>
        </w:numPr>
        <w:spacing w:line="252" w:lineRule="auto"/>
        <w:contextualSpacing/>
        <w:jc w:val="both"/>
        <w:rPr>
          <w:rFonts w:ascii="David" w:hAnsi="David" w:cs="David"/>
        </w:rPr>
      </w:pPr>
      <w:r w:rsidRPr="004670C4">
        <w:rPr>
          <w:rFonts w:ascii="David" w:hAnsi="David" w:cs="David" w:hint="cs"/>
          <w:b/>
          <w:bCs/>
          <w:rtl/>
        </w:rPr>
        <w:t xml:space="preserve">הרמב"ם </w:t>
      </w:r>
      <w:proofErr w:type="spellStart"/>
      <w:r w:rsidRPr="004670C4">
        <w:rPr>
          <w:rFonts w:ascii="David" w:hAnsi="David" w:cs="David" w:hint="cs"/>
          <w:b/>
          <w:bCs/>
          <w:rtl/>
        </w:rPr>
        <w:t>והרשב"א</w:t>
      </w:r>
      <w:proofErr w:type="spellEnd"/>
      <w:r w:rsidRPr="004670C4">
        <w:rPr>
          <w:rFonts w:ascii="David" w:hAnsi="David" w:cs="David" w:hint="cs"/>
          <w:rtl/>
        </w:rPr>
        <w:t>: צלי אוסר כדי קליפה (והמקרה של פסח הוא מקרה ייחודי).</w:t>
      </w:r>
    </w:p>
    <w:p w14:paraId="157B31EE" w14:textId="77777777" w:rsidR="004670C4" w:rsidRPr="004670C4" w:rsidRDefault="004670C4" w:rsidP="00E10E0A">
      <w:pPr>
        <w:numPr>
          <w:ilvl w:val="0"/>
          <w:numId w:val="40"/>
        </w:numPr>
        <w:spacing w:line="252" w:lineRule="auto"/>
        <w:contextualSpacing/>
        <w:jc w:val="both"/>
        <w:rPr>
          <w:rFonts w:ascii="David" w:hAnsi="David" w:cs="David"/>
        </w:rPr>
      </w:pPr>
      <w:r w:rsidRPr="004670C4">
        <w:rPr>
          <w:rFonts w:ascii="David" w:hAnsi="David" w:cs="David" w:hint="cs"/>
          <w:b/>
          <w:bCs/>
          <w:rtl/>
        </w:rPr>
        <w:t xml:space="preserve">הצעה של </w:t>
      </w:r>
      <w:proofErr w:type="spellStart"/>
      <w:r w:rsidRPr="004670C4">
        <w:rPr>
          <w:rFonts w:ascii="David" w:hAnsi="David" w:cs="David" w:hint="cs"/>
          <w:b/>
          <w:bCs/>
          <w:rtl/>
        </w:rPr>
        <w:t>הרא"ש</w:t>
      </w:r>
      <w:proofErr w:type="spellEnd"/>
      <w:r w:rsidRPr="004670C4">
        <w:rPr>
          <w:rFonts w:ascii="David" w:hAnsi="David" w:cs="David" w:hint="cs"/>
          <w:rtl/>
        </w:rPr>
        <w:t>: יש להבחין בין גיד יבש, שאוסר קליפה, ונוזל, שאוסר כדי נטילה.</w:t>
      </w:r>
    </w:p>
    <w:p w14:paraId="323743D0" w14:textId="77777777" w:rsidR="004670C4" w:rsidRPr="004670C4" w:rsidRDefault="004670C4" w:rsidP="00E10E0A">
      <w:pPr>
        <w:numPr>
          <w:ilvl w:val="0"/>
          <w:numId w:val="40"/>
        </w:numPr>
        <w:spacing w:line="252" w:lineRule="auto"/>
        <w:contextualSpacing/>
        <w:jc w:val="both"/>
        <w:rPr>
          <w:rFonts w:ascii="David" w:hAnsi="David" w:cs="David"/>
          <w:rtl/>
        </w:rPr>
      </w:pPr>
      <w:r w:rsidRPr="004670C4">
        <w:rPr>
          <w:rFonts w:ascii="David" w:hAnsi="David" w:cs="David" w:hint="cs"/>
          <w:b/>
          <w:bCs/>
          <w:rtl/>
        </w:rPr>
        <w:t xml:space="preserve">מסקנת </w:t>
      </w:r>
      <w:proofErr w:type="spellStart"/>
      <w:r w:rsidRPr="004670C4">
        <w:rPr>
          <w:rFonts w:ascii="David" w:hAnsi="David" w:cs="David" w:hint="cs"/>
          <w:b/>
          <w:bCs/>
          <w:rtl/>
        </w:rPr>
        <w:t>הרא"ש</w:t>
      </w:r>
      <w:proofErr w:type="spellEnd"/>
      <w:r w:rsidRPr="004670C4">
        <w:rPr>
          <w:rFonts w:ascii="David" w:hAnsi="David" w:cs="David" w:hint="cs"/>
          <w:rtl/>
        </w:rPr>
        <w:t>: בכל האיסורים יש לאסור כדי נטילה (ואין לדייק מניסוח הגמרא במסכת חולין).</w:t>
      </w:r>
    </w:p>
    <w:p w14:paraId="0D315FED"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השולחן ערוך (יורה דעה סימן </w:t>
      </w:r>
      <w:proofErr w:type="spellStart"/>
      <w:r w:rsidRPr="004670C4">
        <w:rPr>
          <w:rFonts w:ascii="David" w:hAnsi="David" w:cs="David" w:hint="cs"/>
          <w:rtl/>
        </w:rPr>
        <w:t>קה</w:t>
      </w:r>
      <w:proofErr w:type="spellEnd"/>
      <w:r w:rsidRPr="004670C4">
        <w:rPr>
          <w:rFonts w:ascii="David" w:hAnsi="David" w:cs="David" w:hint="cs"/>
          <w:rtl/>
        </w:rPr>
        <w:t xml:space="preserve"> סעיף ד)</w:t>
      </w:r>
      <w:r w:rsidRPr="004670C4">
        <w:rPr>
          <w:rFonts w:ascii="David" w:hAnsi="David" w:cs="David" w:hint="cs"/>
        </w:rPr>
        <w:t xml:space="preserve"> </w:t>
      </w:r>
      <w:r w:rsidRPr="004670C4">
        <w:rPr>
          <w:rFonts w:ascii="David" w:hAnsi="David" w:cs="David" w:hint="cs"/>
          <w:rtl/>
        </w:rPr>
        <w:t xml:space="preserve">מכריע כשיטת </w:t>
      </w:r>
      <w:proofErr w:type="spellStart"/>
      <w:r w:rsidRPr="004670C4">
        <w:rPr>
          <w:rFonts w:ascii="David" w:hAnsi="David" w:cs="David" w:hint="cs"/>
          <w:rtl/>
        </w:rPr>
        <w:t>הרא"ש</w:t>
      </w:r>
      <w:proofErr w:type="spellEnd"/>
      <w:r w:rsidRPr="004670C4">
        <w:rPr>
          <w:rFonts w:ascii="David" w:hAnsi="David" w:cs="David" w:hint="cs"/>
          <w:rtl/>
        </w:rPr>
        <w:t xml:space="preserve"> למסקנה.</w:t>
      </w:r>
    </w:p>
    <w:p w14:paraId="3A39C703" w14:textId="77777777" w:rsidR="004670C4" w:rsidRPr="004670C4" w:rsidRDefault="004670C4" w:rsidP="00E10E0A">
      <w:pPr>
        <w:spacing w:line="252" w:lineRule="auto"/>
        <w:contextualSpacing/>
        <w:rPr>
          <w:rFonts w:ascii="David" w:hAnsi="David" w:cs="David"/>
          <w:rtl/>
        </w:rPr>
      </w:pPr>
    </w:p>
    <w:p w14:paraId="5594959B"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אך נראה שעדיין התמונה עדיין אינה פשוטה כלל:</w:t>
      </w:r>
    </w:p>
    <w:p w14:paraId="403C3B24"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בהמשך </w:t>
      </w:r>
      <w:proofErr w:type="spellStart"/>
      <w:r w:rsidRPr="004670C4">
        <w:rPr>
          <w:rFonts w:ascii="David" w:hAnsi="David" w:cs="David" w:hint="cs"/>
          <w:rtl/>
        </w:rPr>
        <w:t>הסוגיה</w:t>
      </w:r>
      <w:proofErr w:type="spellEnd"/>
      <w:r w:rsidRPr="004670C4">
        <w:rPr>
          <w:rFonts w:ascii="David" w:hAnsi="David" w:cs="David" w:hint="cs"/>
          <w:rtl/>
        </w:rPr>
        <w:t xml:space="preserve"> שם רב </w:t>
      </w:r>
      <w:proofErr w:type="spellStart"/>
      <w:r w:rsidRPr="004670C4">
        <w:rPr>
          <w:rFonts w:ascii="David" w:hAnsi="David" w:cs="David" w:hint="cs"/>
          <w:rtl/>
        </w:rPr>
        <w:t>הונא</w:t>
      </w:r>
      <w:proofErr w:type="spellEnd"/>
      <w:r w:rsidRPr="004670C4">
        <w:rPr>
          <w:rFonts w:ascii="David" w:hAnsi="David" w:cs="David" w:hint="cs"/>
          <w:rtl/>
        </w:rPr>
        <w:t xml:space="preserve"> אומר שאם בטעות צולים גדי בלי להוציא את החֵלֶב </w:t>
      </w:r>
      <w:r w:rsidRPr="004670C4">
        <w:rPr>
          <w:rFonts w:ascii="David" w:hAnsi="David" w:cs="David"/>
          <w:rtl/>
        </w:rPr>
        <w:t>–</w:t>
      </w:r>
      <w:r w:rsidRPr="004670C4">
        <w:rPr>
          <w:rFonts w:ascii="David" w:hAnsi="David" w:cs="David" w:hint="cs"/>
          <w:rtl/>
        </w:rPr>
        <w:t xml:space="preserve"> אסור לאכול אפילו </w:t>
      </w:r>
      <w:proofErr w:type="spellStart"/>
      <w:r w:rsidRPr="004670C4">
        <w:rPr>
          <w:rFonts w:ascii="David" w:hAnsi="David" w:cs="David" w:hint="cs"/>
          <w:rtl/>
        </w:rPr>
        <w:t>מהאזניים</w:t>
      </w:r>
      <w:proofErr w:type="spellEnd"/>
      <w:r w:rsidRPr="004670C4">
        <w:rPr>
          <w:rFonts w:ascii="David" w:hAnsi="David" w:cs="David" w:hint="cs"/>
          <w:rtl/>
        </w:rPr>
        <w:t xml:space="preserve"> (הרחוקות מהחֵלֶב). מקשים על כך ממעשה ברבי יוחנן בו אכן צלו גדי לפני שהסירו את החֵלֶב ממנו, ורבי יוחנן התיר לקלף את הבשר ולאכול, משמע כפי שאמר שמואל, שיש לאסור קליפה (או נטילה)</w:t>
      </w:r>
      <w:r w:rsidRPr="004670C4">
        <w:rPr>
          <w:rFonts w:ascii="David" w:hAnsi="David" w:cs="David" w:hint="cs"/>
        </w:rPr>
        <w:t xml:space="preserve"> </w:t>
      </w:r>
      <w:r w:rsidRPr="004670C4">
        <w:rPr>
          <w:rFonts w:ascii="David" w:hAnsi="David" w:cs="David" w:hint="cs"/>
          <w:rtl/>
        </w:rPr>
        <w:t>בלבד! הגמרא מכריעה: עקרונית חֵלֶב מפעפע, אך שם היה מדובר בכחוש</w:t>
      </w:r>
      <w:r w:rsidRPr="004670C4">
        <w:rPr>
          <w:rFonts w:ascii="David" w:hAnsi="David" w:cs="David" w:hint="cs"/>
          <w:vertAlign w:val="superscript"/>
          <w:rtl/>
        </w:rPr>
        <w:t>1.</w:t>
      </w:r>
    </w:p>
    <w:p w14:paraId="61B5BA21"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ר"ת מבאר שמדובר בגדי כחוש. החֵלֶב של הגדי הכחוש פחות מתפשט (השומן שלו פחות שומני </w:t>
      </w:r>
      <w:r w:rsidRPr="004670C4">
        <w:rPr>
          <w:rFonts w:ascii="David" w:hAnsi="David" w:cs="David"/>
          <w:rtl/>
        </w:rPr>
        <w:t>–</w:t>
      </w:r>
      <w:r w:rsidRPr="004670C4">
        <w:rPr>
          <w:rFonts w:ascii="David" w:hAnsi="David" w:cs="David" w:hint="cs"/>
          <w:rtl/>
        </w:rPr>
        <w:t xml:space="preserve"> פחות רווי), ולכן הוא אוסר את סביבתו הקרובה בלבד.</w:t>
      </w:r>
    </w:p>
    <w:p w14:paraId="13B26CF7"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הרמב"ם (הלכות מאכלות אסורות פרק טו הלכה לב)</w:t>
      </w:r>
      <w:r w:rsidRPr="004670C4">
        <w:rPr>
          <w:rFonts w:ascii="David" w:hAnsi="David" w:cs="David" w:hint="cs"/>
        </w:rPr>
        <w:t xml:space="preserve"> </w:t>
      </w:r>
      <w:r w:rsidRPr="004670C4">
        <w:rPr>
          <w:rFonts w:ascii="David" w:hAnsi="David" w:cs="David" w:hint="cs"/>
          <w:rtl/>
        </w:rPr>
        <w:t xml:space="preserve">פוסק שאם צלה את הגדי עם החֵלֶב שבו אי לאכול אותו כלל, מכיוון שהחֵלֶב מתפשט ונבלע בכל האיברים. אבל אם מדובר בגדי כחוש, בו יש פי ששים בשר גדי יחסית לחֵלֶב </w:t>
      </w:r>
      <w:r w:rsidRPr="004670C4">
        <w:rPr>
          <w:rFonts w:ascii="David" w:hAnsi="David" w:cs="David"/>
          <w:rtl/>
        </w:rPr>
        <w:t>–</w:t>
      </w:r>
      <w:r w:rsidRPr="004670C4">
        <w:rPr>
          <w:rFonts w:ascii="David" w:hAnsi="David" w:cs="David" w:hint="cs"/>
          <w:rtl/>
        </w:rPr>
        <w:t xml:space="preserve"> קולף ואוכל את הבשר.</w:t>
      </w:r>
    </w:p>
    <w:p w14:paraId="3F0B0590"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מדברי הרמב"ם עולה כך: חֵלֶב הוא חומר שומני, שאינו נשאר במקומו, אלא "נמס" ומתפשט, פנימית, בכל הבהמה. המשמעות היא שיש להתייחס לחֵלֶב כמו בישול: כשם שאם נופל חֵלֶב לתבשיל, אסור לאכול את כולו אם אין בו פי ששים, כך אם החֵלֶב נותר בבהמה, אסור לאכול אפילו מראש אזנו. אך ההיפך גם נכון: אם יש פי ששים בתבשיל, כל התבשיל מותר, כך גם אם יש פי ששים בשר גדי יחסית לחֵלֶב, מותר לאכול את כל מה שרחוק כדי קליפה ממנו.</w:t>
      </w:r>
    </w:p>
    <w:p w14:paraId="24E14A3E" w14:textId="77777777" w:rsidR="004670C4" w:rsidRPr="004670C4" w:rsidRDefault="004670C4" w:rsidP="00E10E0A">
      <w:pPr>
        <w:spacing w:line="252" w:lineRule="auto"/>
        <w:contextualSpacing/>
        <w:rPr>
          <w:rFonts w:ascii="David" w:hAnsi="David" w:cs="David"/>
          <w:rtl/>
        </w:rPr>
      </w:pPr>
      <w:proofErr w:type="spellStart"/>
      <w:r w:rsidRPr="004670C4">
        <w:rPr>
          <w:rFonts w:ascii="David" w:hAnsi="David" w:cs="David" w:hint="cs"/>
          <w:rtl/>
        </w:rPr>
        <w:t>הרשב"א</w:t>
      </w:r>
      <w:proofErr w:type="spellEnd"/>
      <w:r w:rsidRPr="004670C4">
        <w:rPr>
          <w:rFonts w:ascii="David" w:hAnsi="David" w:cs="David" w:hint="cs"/>
          <w:rtl/>
        </w:rPr>
        <w:t xml:space="preserve"> לוקח את דברי הרמב"ם עד הקצה: במידה ויש פי ששים, אין צורך גם לאסור את הקליפה סביב החֵלֶב, מפני שהחֵלֶב כבר התערבב בשאר הבהמה!</w:t>
      </w:r>
    </w:p>
    <w:p w14:paraId="71E9F9B2"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אך </w:t>
      </w:r>
      <w:proofErr w:type="spellStart"/>
      <w:r w:rsidRPr="004670C4">
        <w:rPr>
          <w:rFonts w:ascii="David" w:hAnsi="David" w:cs="David" w:hint="cs"/>
          <w:rtl/>
        </w:rPr>
        <w:t>הרא"ה</w:t>
      </w:r>
      <w:proofErr w:type="spellEnd"/>
      <w:r w:rsidRPr="004670C4">
        <w:rPr>
          <w:rFonts w:ascii="David" w:hAnsi="David" w:cs="David" w:hint="cs"/>
          <w:rtl/>
        </w:rPr>
        <w:t xml:space="preserve"> אומר שיש בעיה בשיטה הזאת: כאשר מדובר בתבשיל, הנוזלים, חוקי הדיפוזיה, מתירים לנו להניח שהחומר שהתערבב משפיע על כל התבשיל בסיר כולו באותה מידה. אך כאשר מדובר בצלייה, מה מכוון את החֵלֶב להיכן להתפשט? במה </w:t>
      </w:r>
      <w:proofErr w:type="spellStart"/>
      <w:r w:rsidRPr="004670C4">
        <w:rPr>
          <w:rFonts w:ascii="David" w:hAnsi="David" w:cs="David" w:hint="cs"/>
          <w:rtl/>
        </w:rPr>
        <w:t>יוודע</w:t>
      </w:r>
      <w:proofErr w:type="spellEnd"/>
      <w:r w:rsidRPr="004670C4">
        <w:rPr>
          <w:rFonts w:ascii="David" w:hAnsi="David" w:cs="David" w:hint="cs"/>
          <w:rtl/>
        </w:rPr>
        <w:t xml:space="preserve"> שהחֵלֶב לא זלג לכתף של הגדי ונשאר שם? ממילא אם מדובר בחֵלֶב המפעפע בחתיכה, לעולם נאסור את כולה, וביטול בששים לא יועיל!</w:t>
      </w:r>
    </w:p>
    <w:p w14:paraId="381D2550"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 xml:space="preserve">השולחן ערוך (סימן </w:t>
      </w:r>
      <w:proofErr w:type="spellStart"/>
      <w:r w:rsidRPr="004670C4">
        <w:rPr>
          <w:rFonts w:ascii="David" w:hAnsi="David" w:cs="David" w:hint="cs"/>
          <w:rtl/>
        </w:rPr>
        <w:t>קה</w:t>
      </w:r>
      <w:proofErr w:type="spellEnd"/>
      <w:r w:rsidRPr="004670C4">
        <w:rPr>
          <w:rFonts w:ascii="David" w:hAnsi="David" w:cs="David" w:hint="cs"/>
          <w:rtl/>
        </w:rPr>
        <w:t xml:space="preserve"> סעיף ה)</w:t>
      </w:r>
      <w:r w:rsidRPr="004670C4">
        <w:rPr>
          <w:rFonts w:ascii="David" w:hAnsi="David" w:cs="David" w:hint="cs"/>
        </w:rPr>
        <w:t xml:space="preserve"> </w:t>
      </w:r>
      <w:r w:rsidRPr="004670C4">
        <w:rPr>
          <w:rFonts w:ascii="David" w:hAnsi="David" w:cs="David" w:hint="cs"/>
          <w:rtl/>
        </w:rPr>
        <w:t xml:space="preserve">פוסק את דברי ר"ת, לפיהם לבהמה כחושה מאוד אין חֵלֶב שמתפשט בשאר הבהמה. לאחר מכן הוא פוסק את דברי הרמב"ם </w:t>
      </w:r>
      <w:r w:rsidRPr="004670C4">
        <w:rPr>
          <w:rFonts w:ascii="David" w:hAnsi="David" w:cs="David"/>
          <w:rtl/>
        </w:rPr>
        <w:t>–</w:t>
      </w:r>
      <w:r w:rsidRPr="004670C4">
        <w:rPr>
          <w:rFonts w:ascii="David" w:hAnsi="David" w:cs="David" w:hint="cs"/>
          <w:rtl/>
        </w:rPr>
        <w:t xml:space="preserve"> שאם יש פי ששים, האזור סביב החֵלֶב נאסר. אך כאמור, הוא פוסק כדברי </w:t>
      </w:r>
      <w:proofErr w:type="spellStart"/>
      <w:r w:rsidRPr="004670C4">
        <w:rPr>
          <w:rFonts w:ascii="David" w:hAnsi="David" w:cs="David" w:hint="cs"/>
          <w:rtl/>
        </w:rPr>
        <w:t>הרא"ש</w:t>
      </w:r>
      <w:proofErr w:type="spellEnd"/>
      <w:r w:rsidRPr="004670C4">
        <w:rPr>
          <w:rFonts w:ascii="David" w:hAnsi="David" w:cs="David" w:hint="cs"/>
          <w:rtl/>
        </w:rPr>
        <w:t>, ולכן אוסר כדי נטילה סביב מקום החתיכה.</w:t>
      </w:r>
    </w:p>
    <w:p w14:paraId="512D4D72" w14:textId="77777777" w:rsidR="004670C4" w:rsidRPr="004670C4" w:rsidRDefault="004670C4" w:rsidP="00E10E0A">
      <w:pPr>
        <w:spacing w:line="252" w:lineRule="auto"/>
        <w:contextualSpacing/>
        <w:rPr>
          <w:rFonts w:ascii="David" w:hAnsi="David" w:cs="David"/>
          <w:rtl/>
        </w:rPr>
      </w:pPr>
      <w:proofErr w:type="spellStart"/>
      <w:r w:rsidRPr="004670C4">
        <w:rPr>
          <w:rFonts w:ascii="David" w:hAnsi="David" w:cs="David" w:hint="cs"/>
          <w:rtl/>
        </w:rPr>
        <w:t>הרמ"א</w:t>
      </w:r>
      <w:proofErr w:type="spellEnd"/>
      <w:r w:rsidRPr="004670C4">
        <w:rPr>
          <w:rFonts w:ascii="David" w:hAnsi="David" w:cs="David" w:hint="cs"/>
          <w:rtl/>
        </w:rPr>
        <w:t xml:space="preserve"> (שם) מסיים ואומר שבפועל יש לנו בעיה: איננו בקיאים לדעת מה שמן ומה כחוש. ולכן עקרונית יש להחמיר לשני הכיוונים: לוודא שיש ביטול בששים. אם אין ביטול בששים, הבשר כולו ייאסר. וגם אם יש ביטול, לאסור כדי נטילה סביב החֵלֶב.</w:t>
      </w:r>
    </w:p>
    <w:p w14:paraId="0D44CA6A" w14:textId="67A44203" w:rsidR="00E10E0A" w:rsidRDefault="004670C4" w:rsidP="00E10E0A">
      <w:pPr>
        <w:spacing w:line="252" w:lineRule="auto"/>
        <w:contextualSpacing/>
        <w:rPr>
          <w:rFonts w:ascii="David" w:hAnsi="David" w:cs="David"/>
          <w:rtl/>
        </w:rPr>
      </w:pPr>
      <w:r w:rsidRPr="004670C4">
        <w:rPr>
          <w:rFonts w:ascii="David" w:hAnsi="David" w:cs="David" w:hint="cs"/>
          <w:rtl/>
        </w:rPr>
        <w:t xml:space="preserve">הפרי מגדים (שם </w:t>
      </w:r>
      <w:proofErr w:type="spellStart"/>
      <w:r w:rsidRPr="004670C4">
        <w:rPr>
          <w:rFonts w:ascii="David" w:hAnsi="David" w:cs="David" w:hint="cs"/>
          <w:rtl/>
        </w:rPr>
        <w:t>ס"ק</w:t>
      </w:r>
      <w:proofErr w:type="spellEnd"/>
      <w:r w:rsidRPr="004670C4">
        <w:rPr>
          <w:rFonts w:ascii="David" w:hAnsi="David" w:cs="David" w:hint="cs"/>
          <w:rtl/>
        </w:rPr>
        <w:t xml:space="preserve"> יא)</w:t>
      </w:r>
      <w:r w:rsidRPr="004670C4">
        <w:rPr>
          <w:rFonts w:ascii="David" w:hAnsi="David" w:cs="David" w:hint="cs"/>
        </w:rPr>
        <w:t xml:space="preserve"> </w:t>
      </w:r>
      <w:r w:rsidRPr="004670C4">
        <w:rPr>
          <w:rFonts w:ascii="David" w:hAnsi="David" w:cs="David" w:hint="cs"/>
          <w:rtl/>
        </w:rPr>
        <w:t xml:space="preserve">מביא בשם ספר מנחת כהן שיש לקחת בחשבון שדברי </w:t>
      </w:r>
      <w:proofErr w:type="spellStart"/>
      <w:r w:rsidRPr="004670C4">
        <w:rPr>
          <w:rFonts w:ascii="David" w:hAnsi="David" w:cs="David" w:hint="cs"/>
          <w:rtl/>
        </w:rPr>
        <w:t>הרמ"א</w:t>
      </w:r>
      <w:proofErr w:type="spellEnd"/>
      <w:r w:rsidRPr="004670C4">
        <w:rPr>
          <w:rFonts w:ascii="David" w:hAnsi="David" w:cs="David" w:hint="cs"/>
          <w:rtl/>
        </w:rPr>
        <w:t xml:space="preserve"> הם חומרה. כלומר: אם ברור לנו שמדובר בחֵלֶב שמן, </w:t>
      </w:r>
      <w:proofErr w:type="spellStart"/>
      <w:r w:rsidRPr="004670C4">
        <w:rPr>
          <w:rFonts w:ascii="David" w:hAnsi="David" w:cs="David" w:hint="cs"/>
          <w:rtl/>
        </w:rPr>
        <w:t>מדינא</w:t>
      </w:r>
      <w:proofErr w:type="spellEnd"/>
      <w:r w:rsidRPr="004670C4">
        <w:rPr>
          <w:rFonts w:ascii="David" w:hAnsi="David" w:cs="David" w:hint="cs"/>
          <w:rtl/>
        </w:rPr>
        <w:t xml:space="preserve"> יש ביטול בששים, ואיסור כדי נטילה זו חומרה. נפקא מינה אם איננו יודעים היכן האיסור: אין </w:t>
      </w:r>
    </w:p>
    <w:p w14:paraId="76949D89" w14:textId="77777777" w:rsidR="00E10E0A" w:rsidRDefault="004670C4" w:rsidP="00E10E0A">
      <w:pPr>
        <w:spacing w:line="252" w:lineRule="auto"/>
        <w:contextualSpacing/>
        <w:rPr>
          <w:rFonts w:ascii="David" w:hAnsi="David" w:cs="David"/>
          <w:rtl/>
        </w:rPr>
      </w:pPr>
      <w:r w:rsidRPr="004670C4">
        <w:rPr>
          <w:rFonts w:ascii="David" w:hAnsi="David" w:cs="David" w:hint="cs"/>
          <w:rtl/>
        </w:rPr>
        <w:t xml:space="preserve">צריכים לחשוש שמא הוא בכל מקום בבשר, מפני שהוא כבר התפזר בכולו ובטל. במקרה מקביל בו ברור לנו שמדובר באיסור </w:t>
      </w:r>
      <w:r w:rsidR="00E10E0A">
        <w:rPr>
          <w:rFonts w:ascii="David" w:hAnsi="David" w:cs="David"/>
          <w:rtl/>
        </w:rPr>
        <w:br w:type="page"/>
      </w:r>
    </w:p>
    <w:p w14:paraId="5200F105" w14:textId="4F547836" w:rsidR="004670C4" w:rsidRPr="004670C4" w:rsidRDefault="004670C4" w:rsidP="00E10E0A">
      <w:pPr>
        <w:spacing w:line="252" w:lineRule="auto"/>
        <w:contextualSpacing/>
        <w:rPr>
          <w:rFonts w:ascii="David" w:hAnsi="David" w:cs="David"/>
          <w:rtl/>
        </w:rPr>
      </w:pPr>
      <w:r w:rsidRPr="004670C4">
        <w:rPr>
          <w:rFonts w:ascii="David" w:hAnsi="David" w:cs="David" w:hint="cs"/>
          <w:rtl/>
        </w:rPr>
        <w:lastRenderedPageBreak/>
        <w:t>כחוש, עלינו לאסור את כל כדי הנטילה שיתכן שהאיסור הגיע אליו. בדומה לכך הפתחי תשובה מביא בשם שו"ת שמן רוקח את השאלה הבאה: מה קורה אם אחרי שצלו, והיה פי ששים בחתיכה יחסית לאיסור, בשלו את החתיכה בתבשיל בלי לקלף? אם להערכתנו מדובר בדבר שמן, הרי שהוא בטל בששים. אך אם להערכתנו מדובר באיסור כחוש, יש לשער אם יש פי ששים מאותו כדי נטילה שנאסר.</w:t>
      </w:r>
    </w:p>
    <w:p w14:paraId="092B2828" w14:textId="77777777" w:rsidR="004670C4" w:rsidRPr="004670C4" w:rsidRDefault="004670C4" w:rsidP="00E10E0A">
      <w:pPr>
        <w:spacing w:line="252" w:lineRule="auto"/>
        <w:contextualSpacing/>
        <w:rPr>
          <w:rFonts w:ascii="David" w:hAnsi="David" w:cs="David"/>
          <w:rtl/>
        </w:rPr>
      </w:pPr>
      <w:r w:rsidRPr="004670C4">
        <w:rPr>
          <w:rFonts w:ascii="David" w:hAnsi="David" w:cs="David" w:hint="cs"/>
          <w:rtl/>
        </w:rPr>
        <w:t>בפעם הבאה נבחן מה הדין אם האיסור אינו שמן, אך ההיתר שמן, ונתחיל לברר מה הדין אם החתיכה נוגעת במאכל המתבשל.</w:t>
      </w:r>
    </w:p>
    <w:p w14:paraId="57B04A1E" w14:textId="77777777" w:rsidR="004670C4" w:rsidRPr="00E10E0A" w:rsidRDefault="004670C4" w:rsidP="00E10E0A">
      <w:pPr>
        <w:spacing w:line="259" w:lineRule="auto"/>
        <w:contextualSpacing/>
        <w:rPr>
          <w:rFonts w:ascii="David" w:hAnsi="David" w:cs="David"/>
          <w:sz w:val="10"/>
          <w:szCs w:val="10"/>
          <w:rtl/>
        </w:rPr>
      </w:pPr>
    </w:p>
    <w:p w14:paraId="21183498" w14:textId="77777777" w:rsidR="004670C4" w:rsidRPr="004670C4" w:rsidRDefault="004670C4" w:rsidP="004670C4">
      <w:pPr>
        <w:contextualSpacing/>
        <w:rPr>
          <w:rFonts w:ascii="David" w:hAnsi="David" w:cs="David"/>
          <w:sz w:val="10"/>
          <w:szCs w:val="10"/>
          <w:rtl/>
        </w:rPr>
      </w:pPr>
      <w:r w:rsidRPr="004670C4">
        <w:rPr>
          <w:rFonts w:ascii="David" w:hAnsi="David" w:cs="David" w:hint="cs"/>
          <w:sz w:val="10"/>
          <w:szCs w:val="10"/>
          <w:rtl/>
        </w:rPr>
        <w:t>_________________________________________________________</w:t>
      </w:r>
    </w:p>
    <w:p w14:paraId="38A680F0" w14:textId="77777777" w:rsidR="004670C4" w:rsidRPr="004670C4" w:rsidRDefault="004670C4" w:rsidP="004670C4">
      <w:pPr>
        <w:contextualSpacing/>
        <w:rPr>
          <w:rFonts w:ascii="David" w:hAnsi="David" w:cs="David"/>
          <w:sz w:val="10"/>
          <w:szCs w:val="10"/>
          <w:rtl/>
        </w:rPr>
      </w:pPr>
    </w:p>
    <w:p w14:paraId="66AD493B" w14:textId="77777777" w:rsidR="004670C4" w:rsidRPr="004670C4" w:rsidRDefault="004670C4" w:rsidP="004670C4">
      <w:pPr>
        <w:jc w:val="both"/>
        <w:rPr>
          <w:rFonts w:ascii="David" w:hAnsi="David" w:cs="David"/>
          <w:sz w:val="22"/>
          <w:szCs w:val="22"/>
        </w:rPr>
      </w:pPr>
      <w:r w:rsidRPr="004670C4">
        <w:rPr>
          <w:rFonts w:ascii="David" w:hAnsi="David" w:cs="David"/>
          <w:sz w:val="22"/>
          <w:szCs w:val="22"/>
          <w:vertAlign w:val="superscript"/>
        </w:rPr>
        <w:footnoteRef/>
      </w:r>
      <w:r w:rsidRPr="004670C4">
        <w:rPr>
          <w:rFonts w:ascii="David" w:hAnsi="David" w:cs="David"/>
          <w:sz w:val="22"/>
          <w:szCs w:val="22"/>
          <w:rtl/>
        </w:rPr>
        <w:t xml:space="preserve"> </w:t>
      </w:r>
      <w:r w:rsidRPr="004670C4">
        <w:rPr>
          <w:rFonts w:ascii="David" w:hAnsi="David" w:cs="David" w:hint="cs"/>
          <w:sz w:val="22"/>
          <w:szCs w:val="22"/>
          <w:rtl/>
        </w:rPr>
        <w:t>הגמרא מציעה תירוץ נוסף שלא נעסוק בו.</w:t>
      </w:r>
    </w:p>
    <w:p w14:paraId="20DF58AB" w14:textId="77777777" w:rsidR="004670C4" w:rsidRPr="004670C4" w:rsidRDefault="004670C4" w:rsidP="004670C4">
      <w:pPr>
        <w:contextualSpacing/>
        <w:rPr>
          <w:rFonts w:ascii="David" w:hAnsi="David" w:cs="David"/>
        </w:rPr>
      </w:pPr>
    </w:p>
    <w:p w14:paraId="299E22D6" w14:textId="77777777" w:rsidR="00AE40A9" w:rsidRPr="004670C4" w:rsidRDefault="00AE40A9" w:rsidP="00AE40A9">
      <w:pPr>
        <w:contextualSpacing/>
        <w:rPr>
          <w:rFonts w:ascii="David" w:eastAsia="Calibri" w:hAnsi="David" w:cs="David"/>
          <w:sz w:val="16"/>
          <w:szCs w:val="16"/>
        </w:rPr>
      </w:pPr>
    </w:p>
    <w:p w14:paraId="20F337D9" w14:textId="2316016D" w:rsidR="000865B7" w:rsidRDefault="00E10E0A" w:rsidP="000865B7">
      <w:pPr>
        <w:contextualSpacing/>
        <w:jc w:val="center"/>
        <w:rPr>
          <w:rFonts w:cs="David"/>
          <w:b/>
          <w:bCs/>
          <w:color w:val="0070C0"/>
          <w:u w:val="single"/>
          <w:rtl/>
          <w:lang w:eastAsia="he-IL"/>
        </w:rPr>
      </w:pPr>
      <w:hyperlink r:id="rId16"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7" w:history="1">
        <w:r w:rsidR="000865B7" w:rsidRPr="00A355EC">
          <w:rPr>
            <w:rFonts w:cs="David"/>
            <w:b/>
            <w:bCs/>
            <w:color w:val="0070C0"/>
            <w:u w:val="single"/>
            <w:lang w:eastAsia="he-IL"/>
          </w:rPr>
          <w:t>info@eretzhemdah.org</w:t>
        </w:r>
      </w:hyperlink>
    </w:p>
    <w:p w14:paraId="1E417FED" w14:textId="266C8784" w:rsidR="00E10E0A" w:rsidRDefault="00E10E0A" w:rsidP="000865B7">
      <w:pPr>
        <w:contextualSpacing/>
        <w:jc w:val="center"/>
        <w:rPr>
          <w:rFonts w:cs="David"/>
          <w:b/>
          <w:bCs/>
          <w:color w:val="0070C0"/>
          <w:u w:val="single"/>
          <w:rtl/>
          <w:lang w:eastAsia="he-IL"/>
        </w:rPr>
      </w:pPr>
    </w:p>
    <w:p w14:paraId="08625535" w14:textId="77777777" w:rsidR="00E10E0A" w:rsidRDefault="00E10E0A" w:rsidP="00E10E0A">
      <w:pPr>
        <w:ind w:left="-2" w:firstLine="2"/>
        <w:contextualSpacing/>
        <w:rPr>
          <w:rFonts w:cs="David"/>
          <w:rtl/>
        </w:rPr>
      </w:pPr>
    </w:p>
    <w:p w14:paraId="47F003F8" w14:textId="77777777" w:rsidR="00E10E0A" w:rsidRDefault="00E10E0A" w:rsidP="000865B7">
      <w:pPr>
        <w:contextualSpacing/>
        <w:jc w:val="center"/>
        <w:rPr>
          <w:rFonts w:cs="David"/>
          <w:b/>
          <w:bCs/>
          <w:color w:val="0070C0"/>
          <w:u w:val="single"/>
          <w:rtl/>
          <w:lang w:eastAsia="he-IL"/>
        </w:rPr>
      </w:pPr>
    </w:p>
    <w:bookmarkEnd w:id="0"/>
    <w:bookmarkEnd w:id="4"/>
    <w:bookmarkEnd w:id="5"/>
    <w:p w14:paraId="64D2CB0C" w14:textId="37462B22"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7C814932" w14:textId="77777777" w:rsidR="00182962" w:rsidRPr="00182962" w:rsidRDefault="00182962" w:rsidP="00182962">
      <w:pPr>
        <w:widowControl w:val="0"/>
        <w:autoSpaceDE w:val="0"/>
        <w:autoSpaceDN w:val="0"/>
        <w:adjustRightInd w:val="0"/>
        <w:contextualSpacing/>
        <w:rPr>
          <w:rFonts w:cs="David"/>
          <w:rtl/>
        </w:rPr>
      </w:pPr>
      <w:r w:rsidRPr="00182962">
        <w:rPr>
          <w:rFonts w:cs="David" w:hint="cs"/>
          <w:rtl/>
        </w:rPr>
        <w:t>(מתוך ח"ד)</w:t>
      </w:r>
    </w:p>
    <w:p w14:paraId="06E208FD" w14:textId="77777777" w:rsidR="00182962" w:rsidRPr="00182962" w:rsidRDefault="00182962" w:rsidP="00182962">
      <w:pPr>
        <w:widowControl w:val="0"/>
        <w:autoSpaceDE w:val="0"/>
        <w:autoSpaceDN w:val="0"/>
        <w:adjustRightInd w:val="0"/>
        <w:contextualSpacing/>
        <w:rPr>
          <w:rFonts w:cs="David"/>
          <w:rtl/>
        </w:rPr>
      </w:pPr>
    </w:p>
    <w:p w14:paraId="287F9546" w14:textId="70FB470B" w:rsidR="00182962" w:rsidRPr="00182962" w:rsidRDefault="00182962" w:rsidP="00182962">
      <w:pPr>
        <w:widowControl w:val="0"/>
        <w:autoSpaceDE w:val="0"/>
        <w:autoSpaceDN w:val="0"/>
        <w:adjustRightInd w:val="0"/>
        <w:contextualSpacing/>
        <w:rPr>
          <w:rFonts w:cs="David"/>
          <w:b/>
          <w:bCs/>
          <w:sz w:val="32"/>
          <w:szCs w:val="32"/>
          <w:rtl/>
        </w:rPr>
      </w:pPr>
      <w:r w:rsidRPr="00182962">
        <w:rPr>
          <w:rFonts w:cs="David"/>
          <w:b/>
          <w:bCs/>
          <w:sz w:val="32"/>
          <w:szCs w:val="32"/>
          <w:rtl/>
        </w:rPr>
        <w:t>ק</w:t>
      </w:r>
      <w:r w:rsidRPr="00182962">
        <w:rPr>
          <w:rFonts w:cs="David" w:hint="cs"/>
          <w:b/>
          <w:bCs/>
          <w:sz w:val="32"/>
          <w:szCs w:val="32"/>
          <w:rtl/>
        </w:rPr>
        <w:t>יטו, אקוודור</w:t>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sidRPr="00182962">
        <w:rPr>
          <w:rFonts w:cs="David"/>
          <w:b/>
          <w:bCs/>
          <w:sz w:val="32"/>
          <w:szCs w:val="32"/>
          <w:rtl/>
        </w:rPr>
        <w:tab/>
      </w:r>
      <w:r>
        <w:rPr>
          <w:rFonts w:cs="David"/>
          <w:b/>
          <w:bCs/>
          <w:sz w:val="32"/>
          <w:szCs w:val="32"/>
          <w:rtl/>
        </w:rPr>
        <w:tab/>
      </w:r>
      <w:r>
        <w:rPr>
          <w:rFonts w:cs="David" w:hint="cs"/>
          <w:b/>
          <w:bCs/>
          <w:sz w:val="32"/>
          <w:szCs w:val="32"/>
          <w:rtl/>
        </w:rPr>
        <w:t xml:space="preserve"> </w:t>
      </w:r>
      <w:r w:rsidRPr="00182962">
        <w:rPr>
          <w:rFonts w:cs="David"/>
          <w:b/>
          <w:bCs/>
          <w:sz w:val="32"/>
          <w:szCs w:val="32"/>
          <w:rtl/>
        </w:rPr>
        <w:tab/>
      </w:r>
      <w:r>
        <w:rPr>
          <w:rFonts w:cs="David" w:hint="cs"/>
          <w:b/>
          <w:bCs/>
          <w:sz w:val="32"/>
          <w:szCs w:val="32"/>
          <w:rtl/>
        </w:rPr>
        <w:t xml:space="preserve">    </w:t>
      </w:r>
      <w:r w:rsidRPr="00182962">
        <w:rPr>
          <w:rFonts w:cs="David"/>
          <w:b/>
          <w:bCs/>
          <w:sz w:val="32"/>
          <w:szCs w:val="32"/>
        </w:rPr>
        <w:t>Quito, Ecuador</w:t>
      </w:r>
    </w:p>
    <w:p w14:paraId="418E5D38" w14:textId="77777777" w:rsidR="00182962" w:rsidRPr="00182962" w:rsidRDefault="00182962" w:rsidP="00182962">
      <w:pPr>
        <w:widowControl w:val="0"/>
        <w:autoSpaceDE w:val="0"/>
        <w:autoSpaceDN w:val="0"/>
        <w:adjustRightInd w:val="0"/>
        <w:contextualSpacing/>
        <w:rPr>
          <w:rFonts w:ascii="David" w:hAnsi="David" w:cs="David"/>
          <w:rtl/>
        </w:rPr>
      </w:pPr>
      <w:r w:rsidRPr="00182962">
        <w:rPr>
          <w:rFonts w:ascii="David" w:hAnsi="David" w:cs="David"/>
          <w:rtl/>
        </w:rPr>
        <w:t>סיון, ה'תשנ"ה</w:t>
      </w:r>
    </w:p>
    <w:p w14:paraId="0D9B0F6E" w14:textId="77777777" w:rsidR="00182962" w:rsidRPr="00182962" w:rsidRDefault="00182962" w:rsidP="00182962">
      <w:pPr>
        <w:widowControl w:val="0"/>
        <w:autoSpaceDE w:val="0"/>
        <w:autoSpaceDN w:val="0"/>
        <w:adjustRightInd w:val="0"/>
        <w:contextualSpacing/>
        <w:rPr>
          <w:rFonts w:ascii="David" w:hAnsi="David" w:cs="David"/>
          <w:b/>
          <w:bCs/>
          <w:rtl/>
        </w:rPr>
      </w:pPr>
    </w:p>
    <w:p w14:paraId="10AB9986" w14:textId="77777777" w:rsidR="00182962" w:rsidRPr="00182962" w:rsidRDefault="00182962" w:rsidP="00182962">
      <w:pPr>
        <w:keepNext/>
        <w:outlineLvl w:val="7"/>
        <w:rPr>
          <w:rFonts w:ascii="David" w:hAnsi="David" w:cs="David"/>
          <w:b/>
          <w:bCs/>
          <w:color w:val="0070C0"/>
          <w:kern w:val="2"/>
          <w:sz w:val="30"/>
          <w:szCs w:val="30"/>
          <w:rtl/>
          <w14:ligatures w14:val="standardContextual"/>
        </w:rPr>
      </w:pPr>
      <w:r w:rsidRPr="00182962">
        <w:rPr>
          <w:rFonts w:ascii="David" w:hAnsi="David" w:cs="David"/>
          <w:b/>
          <w:bCs/>
          <w:color w:val="0070C0"/>
          <w:kern w:val="2"/>
          <w:sz w:val="30"/>
          <w:szCs w:val="30"/>
          <w:rtl/>
          <w14:ligatures w14:val="standardContextual"/>
        </w:rPr>
        <w:t>טיול ונופש בימי "בין המצרים"</w:t>
      </w:r>
    </w:p>
    <w:p w14:paraId="222D63C0" w14:textId="77777777" w:rsidR="00182962" w:rsidRPr="00182962" w:rsidRDefault="00182962" w:rsidP="00182962">
      <w:pPr>
        <w:contextualSpacing/>
        <w:rPr>
          <w:rFonts w:ascii="David" w:hAnsi="David" w:cs="David"/>
          <w:rtl/>
        </w:rPr>
      </w:pPr>
    </w:p>
    <w:p w14:paraId="42588DD3" w14:textId="77777777" w:rsidR="00182962" w:rsidRPr="00182962" w:rsidRDefault="00182962" w:rsidP="00182962">
      <w:pPr>
        <w:widowControl w:val="0"/>
        <w:autoSpaceDE w:val="0"/>
        <w:autoSpaceDN w:val="0"/>
        <w:adjustRightInd w:val="0"/>
        <w:contextualSpacing/>
        <w:rPr>
          <w:rFonts w:ascii="David" w:hAnsi="David" w:cs="David"/>
          <w:b/>
          <w:bCs/>
          <w:sz w:val="26"/>
          <w:szCs w:val="26"/>
          <w:rtl/>
        </w:rPr>
      </w:pPr>
      <w:r w:rsidRPr="00182962">
        <w:rPr>
          <w:rFonts w:ascii="David" w:hAnsi="David" w:cs="David"/>
          <w:b/>
          <w:bCs/>
          <w:sz w:val="26"/>
          <w:szCs w:val="26"/>
          <w:rtl/>
        </w:rPr>
        <w:t>שאלה</w:t>
      </w:r>
    </w:p>
    <w:p w14:paraId="5A459FA8" w14:textId="77777777" w:rsidR="00182962" w:rsidRPr="00182962" w:rsidRDefault="00182962" w:rsidP="00182962">
      <w:pPr>
        <w:widowControl w:val="0"/>
        <w:autoSpaceDE w:val="0"/>
        <w:autoSpaceDN w:val="0"/>
        <w:adjustRightInd w:val="0"/>
        <w:contextualSpacing/>
        <w:rPr>
          <w:rFonts w:ascii="David" w:hAnsi="David" w:cs="David"/>
          <w:rtl/>
        </w:rPr>
      </w:pPr>
      <w:r w:rsidRPr="00182962">
        <w:rPr>
          <w:rFonts w:ascii="David" w:hAnsi="David" w:cs="David"/>
          <w:rtl/>
        </w:rPr>
        <w:t>האם מותר לצאת לטיול או נופש משפחתי בתקופת "בין המצרים", לפני ראש חודש אב. האם ניתן להתחשב בכך שזה הזמן היחיד השנה שבו יש לנו אפשרות לצאת לנופש?</w:t>
      </w:r>
    </w:p>
    <w:p w14:paraId="3C0ADF3A" w14:textId="77777777" w:rsidR="00182962" w:rsidRPr="00182962" w:rsidRDefault="00182962" w:rsidP="00182962">
      <w:pPr>
        <w:widowControl w:val="0"/>
        <w:autoSpaceDE w:val="0"/>
        <w:autoSpaceDN w:val="0"/>
        <w:adjustRightInd w:val="0"/>
        <w:contextualSpacing/>
        <w:rPr>
          <w:rFonts w:ascii="David" w:hAnsi="David" w:cs="David"/>
          <w:b/>
          <w:bCs/>
          <w:rtl/>
        </w:rPr>
      </w:pPr>
    </w:p>
    <w:p w14:paraId="08227CD4" w14:textId="77777777" w:rsidR="00182962" w:rsidRPr="00182962" w:rsidRDefault="00182962" w:rsidP="00182962">
      <w:pPr>
        <w:widowControl w:val="0"/>
        <w:autoSpaceDE w:val="0"/>
        <w:autoSpaceDN w:val="0"/>
        <w:adjustRightInd w:val="0"/>
        <w:contextualSpacing/>
        <w:rPr>
          <w:rFonts w:ascii="David" w:hAnsi="David" w:cs="David"/>
          <w:b/>
          <w:bCs/>
          <w:sz w:val="26"/>
          <w:szCs w:val="26"/>
          <w:rtl/>
        </w:rPr>
      </w:pPr>
      <w:r w:rsidRPr="00182962">
        <w:rPr>
          <w:rFonts w:ascii="David" w:hAnsi="David" w:cs="David"/>
          <w:b/>
          <w:bCs/>
          <w:sz w:val="26"/>
          <w:szCs w:val="26"/>
          <w:rtl/>
        </w:rPr>
        <w:t>תשובה</w:t>
      </w:r>
    </w:p>
    <w:p w14:paraId="2E1B92CE" w14:textId="77777777" w:rsidR="00182962" w:rsidRPr="00182962" w:rsidRDefault="00182962" w:rsidP="00182962">
      <w:pPr>
        <w:widowControl w:val="0"/>
        <w:autoSpaceDE w:val="0"/>
        <w:autoSpaceDN w:val="0"/>
        <w:adjustRightInd w:val="0"/>
        <w:contextualSpacing/>
        <w:rPr>
          <w:rFonts w:ascii="David" w:hAnsi="David" w:cs="David"/>
          <w:rtl/>
        </w:rPr>
      </w:pPr>
      <w:r w:rsidRPr="00182962">
        <w:rPr>
          <w:rFonts w:ascii="David" w:hAnsi="David" w:cs="David"/>
          <w:rtl/>
        </w:rPr>
        <w:t>מותר לצאת לנופש ולטיול משפחתי בתקופת "בין המצרים"</w:t>
      </w:r>
      <w:r w:rsidRPr="00182962">
        <w:rPr>
          <w:rFonts w:ascii="David" w:hAnsi="David" w:cs="David" w:hint="cs"/>
          <w:vertAlign w:val="superscript"/>
          <w:rtl/>
        </w:rPr>
        <w:t>1</w:t>
      </w:r>
      <w:r w:rsidRPr="00182962">
        <w:rPr>
          <w:rFonts w:ascii="David" w:hAnsi="David" w:cs="David"/>
          <w:rtl/>
        </w:rPr>
        <w:t xml:space="preserve">, אך יש שנוהגים שלא לצאת לדרכים שלא לצורך מיוחד </w:t>
      </w:r>
      <w:proofErr w:type="spellStart"/>
      <w:r w:rsidRPr="00182962">
        <w:rPr>
          <w:rFonts w:ascii="David" w:hAnsi="David" w:cs="David"/>
          <w:rtl/>
        </w:rPr>
        <w:t>מר"ח</w:t>
      </w:r>
      <w:proofErr w:type="spellEnd"/>
      <w:r w:rsidRPr="00182962">
        <w:rPr>
          <w:rFonts w:ascii="David" w:hAnsi="David" w:cs="David"/>
          <w:rtl/>
        </w:rPr>
        <w:t xml:space="preserve"> אב ואילך</w:t>
      </w:r>
      <w:r w:rsidRPr="00182962">
        <w:rPr>
          <w:rFonts w:ascii="David" w:hAnsi="David" w:cs="David" w:hint="cs"/>
          <w:vertAlign w:val="superscript"/>
          <w:rtl/>
        </w:rPr>
        <w:t>2</w:t>
      </w:r>
      <w:r w:rsidRPr="00182962">
        <w:rPr>
          <w:rFonts w:ascii="David" w:hAnsi="David" w:cs="David"/>
          <w:rtl/>
        </w:rPr>
        <w:t>.</w:t>
      </w:r>
    </w:p>
    <w:p w14:paraId="72DBAEBE" w14:textId="77777777" w:rsidR="00182962" w:rsidRPr="00182962" w:rsidRDefault="00182962" w:rsidP="00182962">
      <w:pPr>
        <w:widowControl w:val="0"/>
        <w:autoSpaceDE w:val="0"/>
        <w:autoSpaceDN w:val="0"/>
        <w:adjustRightInd w:val="0"/>
        <w:contextualSpacing/>
        <w:rPr>
          <w:rFonts w:ascii="David" w:hAnsi="David" w:cs="David"/>
          <w:rtl/>
        </w:rPr>
      </w:pPr>
    </w:p>
    <w:p w14:paraId="70CB9AEB" w14:textId="77777777" w:rsidR="00182962" w:rsidRPr="00182962" w:rsidRDefault="00182962" w:rsidP="00182962">
      <w:pPr>
        <w:widowControl w:val="0"/>
        <w:autoSpaceDE w:val="0"/>
        <w:autoSpaceDN w:val="0"/>
        <w:adjustRightInd w:val="0"/>
        <w:contextualSpacing/>
        <w:rPr>
          <w:rFonts w:ascii="David" w:hAnsi="David" w:cs="David"/>
          <w:sz w:val="10"/>
          <w:szCs w:val="10"/>
          <w:rtl/>
        </w:rPr>
      </w:pPr>
      <w:r w:rsidRPr="00182962">
        <w:rPr>
          <w:rFonts w:ascii="David" w:hAnsi="David" w:cs="David" w:hint="cs"/>
          <w:sz w:val="10"/>
          <w:szCs w:val="10"/>
          <w:rtl/>
        </w:rPr>
        <w:t>__________________________________________________</w:t>
      </w:r>
    </w:p>
    <w:p w14:paraId="4E0318CA" w14:textId="77777777" w:rsidR="00182962" w:rsidRPr="00182962" w:rsidRDefault="00182962" w:rsidP="00182962">
      <w:pPr>
        <w:widowControl w:val="0"/>
        <w:autoSpaceDE w:val="0"/>
        <w:autoSpaceDN w:val="0"/>
        <w:adjustRightInd w:val="0"/>
        <w:contextualSpacing/>
        <w:rPr>
          <w:rFonts w:ascii="David" w:hAnsi="David" w:cs="David"/>
          <w:sz w:val="10"/>
          <w:szCs w:val="10"/>
          <w:rtl/>
        </w:rPr>
      </w:pPr>
    </w:p>
    <w:p w14:paraId="67DADB1E" w14:textId="77777777" w:rsidR="00182962" w:rsidRPr="00182962" w:rsidRDefault="00182962" w:rsidP="00182962">
      <w:pPr>
        <w:ind w:left="141" w:hanging="141"/>
        <w:contextualSpacing/>
        <w:rPr>
          <w:rFonts w:cs="David"/>
          <w:sz w:val="22"/>
          <w:szCs w:val="22"/>
          <w:rtl/>
        </w:rPr>
      </w:pPr>
      <w:r w:rsidRPr="00182962">
        <w:rPr>
          <w:rFonts w:cs="David" w:hint="cs"/>
          <w:sz w:val="22"/>
          <w:szCs w:val="22"/>
          <w:vertAlign w:val="superscript"/>
          <w:rtl/>
        </w:rPr>
        <w:t>1</w:t>
      </w:r>
      <w:r w:rsidRPr="00182962">
        <w:rPr>
          <w:rFonts w:cs="David" w:hint="cs"/>
          <w:sz w:val="22"/>
          <w:szCs w:val="22"/>
          <w:rtl/>
        </w:rPr>
        <w:t xml:space="preserve"> </w:t>
      </w:r>
      <w:r w:rsidRPr="00182962">
        <w:rPr>
          <w:rFonts w:cs="David"/>
          <w:sz w:val="22"/>
          <w:szCs w:val="22"/>
          <w:rtl/>
        </w:rPr>
        <w:tab/>
      </w:r>
      <w:r w:rsidRPr="00182962">
        <w:rPr>
          <w:rFonts w:cs="David" w:hint="cs"/>
          <w:sz w:val="22"/>
          <w:szCs w:val="22"/>
          <w:rtl/>
        </w:rPr>
        <w:t xml:space="preserve">עיין </w:t>
      </w:r>
      <w:proofErr w:type="spellStart"/>
      <w:r w:rsidRPr="00182962">
        <w:rPr>
          <w:rFonts w:cs="David" w:hint="cs"/>
          <w:sz w:val="22"/>
          <w:szCs w:val="22"/>
          <w:rtl/>
        </w:rPr>
        <w:t>בשו"ע</w:t>
      </w:r>
      <w:proofErr w:type="spellEnd"/>
      <w:r w:rsidRPr="00182962">
        <w:rPr>
          <w:rFonts w:cs="David" w:hint="cs"/>
          <w:sz w:val="22"/>
          <w:szCs w:val="22"/>
          <w:rtl/>
        </w:rPr>
        <w:t xml:space="preserve"> אורח חיים (סי</w:t>
      </w:r>
      <w:smartTag w:uri="urn:schemas-microsoft-com:office:smarttags" w:element="PersonName">
        <w:r w:rsidRPr="00182962">
          <w:rPr>
            <w:rFonts w:cs="David" w:hint="cs"/>
            <w:sz w:val="22"/>
            <w:szCs w:val="22"/>
            <w:rtl/>
          </w:rPr>
          <w:t>'</w:t>
        </w:r>
      </w:smartTag>
      <w:r w:rsidRPr="00182962">
        <w:rPr>
          <w:rFonts w:cs="David" w:hint="cs"/>
          <w:sz w:val="22"/>
          <w:szCs w:val="22"/>
          <w:rtl/>
        </w:rPr>
        <w:t xml:space="preserve"> תקנא). אמנם מצינו שם (סעיף </w:t>
      </w:r>
      <w:proofErr w:type="spellStart"/>
      <w:r w:rsidRPr="00182962">
        <w:rPr>
          <w:rFonts w:cs="David" w:hint="cs"/>
          <w:sz w:val="22"/>
          <w:szCs w:val="22"/>
          <w:rtl/>
        </w:rPr>
        <w:t>יח</w:t>
      </w:r>
      <w:proofErr w:type="spellEnd"/>
      <w:r w:rsidRPr="00182962">
        <w:rPr>
          <w:rFonts w:cs="David" w:hint="cs"/>
          <w:sz w:val="22"/>
          <w:szCs w:val="22"/>
          <w:rtl/>
        </w:rPr>
        <w:t xml:space="preserve"> שלא לילך יחידי בתקופה זו מסוף ד</w:t>
      </w:r>
      <w:smartTag w:uri="urn:schemas-microsoft-com:office:smarttags" w:element="PersonName">
        <w:r w:rsidRPr="00182962">
          <w:rPr>
            <w:rFonts w:cs="David" w:hint="cs"/>
            <w:sz w:val="22"/>
            <w:szCs w:val="22"/>
            <w:rtl/>
          </w:rPr>
          <w:t>'</w:t>
        </w:r>
      </w:smartTag>
      <w:r w:rsidRPr="00182962">
        <w:rPr>
          <w:rFonts w:cs="David" w:hint="cs"/>
          <w:sz w:val="22"/>
          <w:szCs w:val="22"/>
          <w:rtl/>
        </w:rPr>
        <w:t xml:space="preserve"> שעות עד סוף ט</w:t>
      </w:r>
      <w:smartTag w:uri="urn:schemas-microsoft-com:office:smarttags" w:element="PersonName">
        <w:r w:rsidRPr="00182962">
          <w:rPr>
            <w:rFonts w:cs="David" w:hint="cs"/>
            <w:sz w:val="22"/>
            <w:szCs w:val="22"/>
            <w:rtl/>
          </w:rPr>
          <w:t>'</w:t>
        </w:r>
      </w:smartTag>
      <w:r w:rsidRPr="00182962">
        <w:rPr>
          <w:rFonts w:cs="David" w:hint="cs"/>
          <w:sz w:val="22"/>
          <w:szCs w:val="22"/>
          <w:rtl/>
        </w:rPr>
        <w:t xml:space="preserve"> שעות, משום שבהם קטב ומרירי שולט, </w:t>
      </w:r>
      <w:proofErr w:type="spellStart"/>
      <w:r w:rsidRPr="00182962">
        <w:rPr>
          <w:rFonts w:cs="David" w:hint="cs"/>
          <w:sz w:val="22"/>
          <w:szCs w:val="22"/>
          <w:rtl/>
        </w:rPr>
        <w:t>וב"משנה</w:t>
      </w:r>
      <w:proofErr w:type="spellEnd"/>
      <w:r w:rsidRPr="00182962">
        <w:rPr>
          <w:rFonts w:cs="David" w:hint="cs"/>
          <w:sz w:val="22"/>
          <w:szCs w:val="22"/>
          <w:rtl/>
        </w:rPr>
        <w:t xml:space="preserve"> ברורה" (שם </w:t>
      </w:r>
      <w:proofErr w:type="spellStart"/>
      <w:r w:rsidRPr="00182962">
        <w:rPr>
          <w:rFonts w:cs="David" w:hint="cs"/>
          <w:sz w:val="22"/>
          <w:szCs w:val="22"/>
          <w:rtl/>
        </w:rPr>
        <w:t>סק"ב</w:t>
      </w:r>
      <w:proofErr w:type="spellEnd"/>
      <w:r w:rsidRPr="00182962">
        <w:rPr>
          <w:rFonts w:cs="David" w:hint="cs"/>
          <w:sz w:val="22"/>
          <w:szCs w:val="22"/>
          <w:rtl/>
        </w:rPr>
        <w:t xml:space="preserve">) המוסיף שגם לא לילך בין חמה לצל, ונראה שעל זה נאמר, "כל </w:t>
      </w:r>
      <w:proofErr w:type="spellStart"/>
      <w:r w:rsidRPr="00182962">
        <w:rPr>
          <w:rFonts w:cs="David" w:hint="cs"/>
          <w:sz w:val="22"/>
          <w:szCs w:val="22"/>
          <w:rtl/>
        </w:rPr>
        <w:t>דקפיד</w:t>
      </w:r>
      <w:proofErr w:type="spellEnd"/>
      <w:r w:rsidRPr="00182962">
        <w:rPr>
          <w:rFonts w:cs="David" w:hint="cs"/>
          <w:sz w:val="22"/>
          <w:szCs w:val="22"/>
          <w:rtl/>
        </w:rPr>
        <w:t xml:space="preserve"> קפדי בהדיה, </w:t>
      </w:r>
      <w:proofErr w:type="spellStart"/>
      <w:r w:rsidRPr="00182962">
        <w:rPr>
          <w:rFonts w:cs="David" w:hint="cs"/>
          <w:sz w:val="22"/>
          <w:szCs w:val="22"/>
          <w:rtl/>
        </w:rPr>
        <w:t>ודלא</w:t>
      </w:r>
      <w:proofErr w:type="spellEnd"/>
      <w:r w:rsidRPr="00182962">
        <w:rPr>
          <w:rFonts w:cs="David" w:hint="cs"/>
          <w:sz w:val="22"/>
          <w:szCs w:val="22"/>
          <w:rtl/>
        </w:rPr>
        <w:t xml:space="preserve"> </w:t>
      </w:r>
      <w:proofErr w:type="spellStart"/>
      <w:r w:rsidRPr="00182962">
        <w:rPr>
          <w:rFonts w:cs="David"/>
          <w:sz w:val="22"/>
          <w:szCs w:val="22"/>
          <w:rtl/>
        </w:rPr>
        <w:t>ק</w:t>
      </w:r>
      <w:r w:rsidRPr="00182962">
        <w:rPr>
          <w:rFonts w:cs="David" w:hint="cs"/>
          <w:sz w:val="22"/>
          <w:szCs w:val="22"/>
          <w:rtl/>
        </w:rPr>
        <w:t>פיד</w:t>
      </w:r>
      <w:proofErr w:type="spellEnd"/>
      <w:r w:rsidRPr="00182962">
        <w:rPr>
          <w:rFonts w:cs="David" w:hint="cs"/>
          <w:sz w:val="22"/>
          <w:szCs w:val="22"/>
          <w:rtl/>
        </w:rPr>
        <w:t xml:space="preserve"> לא קפדי בהדיה" (פסחים ק ע"ב).</w:t>
      </w:r>
    </w:p>
    <w:p w14:paraId="5214F0A7" w14:textId="77777777" w:rsidR="00182962" w:rsidRPr="00182962" w:rsidRDefault="00182962" w:rsidP="00182962">
      <w:pPr>
        <w:ind w:left="141" w:hanging="141"/>
        <w:contextualSpacing/>
        <w:rPr>
          <w:rFonts w:cs="David"/>
          <w:sz w:val="22"/>
          <w:szCs w:val="22"/>
          <w:rtl/>
        </w:rPr>
      </w:pPr>
      <w:r w:rsidRPr="00182962">
        <w:rPr>
          <w:rFonts w:cs="David" w:hint="cs"/>
          <w:sz w:val="22"/>
          <w:szCs w:val="22"/>
          <w:vertAlign w:val="superscript"/>
          <w:rtl/>
        </w:rPr>
        <w:t>2</w:t>
      </w:r>
      <w:r w:rsidRPr="00182962">
        <w:rPr>
          <w:rFonts w:cs="David" w:hint="cs"/>
          <w:sz w:val="22"/>
          <w:szCs w:val="22"/>
          <w:rtl/>
        </w:rPr>
        <w:t xml:space="preserve"> </w:t>
      </w:r>
      <w:r w:rsidRPr="00182962">
        <w:rPr>
          <w:rFonts w:cs="David"/>
          <w:sz w:val="22"/>
          <w:szCs w:val="22"/>
          <w:rtl/>
        </w:rPr>
        <w:tab/>
      </w:r>
      <w:proofErr w:type="spellStart"/>
      <w:r w:rsidRPr="00182962">
        <w:rPr>
          <w:rFonts w:cs="David" w:hint="cs"/>
          <w:sz w:val="22"/>
          <w:szCs w:val="22"/>
          <w:rtl/>
        </w:rPr>
        <w:t>פוק</w:t>
      </w:r>
      <w:proofErr w:type="spellEnd"/>
      <w:r w:rsidRPr="00182962">
        <w:rPr>
          <w:rFonts w:cs="David" w:hint="cs"/>
          <w:sz w:val="22"/>
          <w:szCs w:val="22"/>
          <w:rtl/>
        </w:rPr>
        <w:t xml:space="preserve"> חזי מאי עמא דבר. ויש שתי אפשרויות להסביר את מנהג העולם: א. כדין מיעוט משא-ומתן, עיין שו"ע אורח חיים (סי</w:t>
      </w:r>
      <w:smartTag w:uri="urn:schemas-microsoft-com:office:smarttags" w:element="PersonName">
        <w:r w:rsidRPr="00182962">
          <w:rPr>
            <w:rFonts w:cs="David" w:hint="cs"/>
            <w:sz w:val="22"/>
            <w:szCs w:val="22"/>
            <w:rtl/>
          </w:rPr>
          <w:t>'</w:t>
        </w:r>
      </w:smartTag>
      <w:r w:rsidRPr="00182962">
        <w:rPr>
          <w:rFonts w:cs="David" w:hint="cs"/>
          <w:sz w:val="22"/>
          <w:szCs w:val="22"/>
          <w:rtl/>
        </w:rPr>
        <w:t xml:space="preserve"> תקנא סעיף ב) ו"שער הציון" (</w:t>
      </w:r>
      <w:proofErr w:type="spellStart"/>
      <w:r w:rsidRPr="00182962">
        <w:rPr>
          <w:rFonts w:cs="David" w:hint="cs"/>
          <w:sz w:val="22"/>
          <w:szCs w:val="22"/>
          <w:rtl/>
        </w:rPr>
        <w:t>ס"ק</w:t>
      </w:r>
      <w:proofErr w:type="spellEnd"/>
      <w:r w:rsidRPr="00182962">
        <w:rPr>
          <w:rFonts w:cs="David" w:hint="cs"/>
          <w:sz w:val="22"/>
          <w:szCs w:val="22"/>
          <w:rtl/>
        </w:rPr>
        <w:t xml:space="preserve"> א) ועיין עוד "גשר החיים" (ח"א פרק </w:t>
      </w:r>
      <w:proofErr w:type="spellStart"/>
      <w:r w:rsidRPr="00182962">
        <w:rPr>
          <w:rFonts w:cs="David" w:hint="cs"/>
          <w:sz w:val="22"/>
          <w:szCs w:val="22"/>
          <w:rtl/>
        </w:rPr>
        <w:t>כא</w:t>
      </w:r>
      <w:proofErr w:type="spellEnd"/>
      <w:r w:rsidRPr="00182962">
        <w:rPr>
          <w:rFonts w:cs="David" w:hint="cs"/>
          <w:sz w:val="22"/>
          <w:szCs w:val="22"/>
          <w:rtl/>
        </w:rPr>
        <w:t>, סעיף ט) לאסור לאבל בתוך לצאת לטיול בשיירו</w:t>
      </w:r>
      <w:r w:rsidRPr="00182962">
        <w:rPr>
          <w:rFonts w:cs="David"/>
          <w:sz w:val="22"/>
          <w:szCs w:val="22"/>
          <w:rtl/>
        </w:rPr>
        <w:t>ת</w:t>
      </w:r>
      <w:r w:rsidRPr="00182962">
        <w:rPr>
          <w:rFonts w:cs="David" w:hint="cs"/>
          <w:sz w:val="22"/>
          <w:szCs w:val="22"/>
          <w:rtl/>
        </w:rPr>
        <w:t xml:space="preserve"> גדולות. ב. הם חשים יותר לסכנה הנזכרת, בהערה 1.</w:t>
      </w:r>
    </w:p>
    <w:p w14:paraId="08611FF2" w14:textId="77777777" w:rsidR="00182962" w:rsidRPr="00182962" w:rsidRDefault="00182962" w:rsidP="00182962">
      <w:pPr>
        <w:widowControl w:val="0"/>
        <w:autoSpaceDE w:val="0"/>
        <w:autoSpaceDN w:val="0"/>
        <w:adjustRightInd w:val="0"/>
        <w:contextualSpacing/>
        <w:rPr>
          <w:rFonts w:ascii="David" w:hAnsi="David" w:cs="David"/>
          <w:rtl/>
        </w:rPr>
      </w:pPr>
    </w:p>
    <w:p w14:paraId="6CABFE56" w14:textId="77777777" w:rsidR="00EC71C6" w:rsidRDefault="00EC71C6" w:rsidP="0035396B">
      <w:pPr>
        <w:ind w:left="2695"/>
        <w:contextualSpacing/>
        <w:jc w:val="center"/>
        <w:rPr>
          <w:rFonts w:cs="David"/>
          <w:lang w:eastAsia="he-IL"/>
        </w:rPr>
      </w:pPr>
    </w:p>
    <w:p w14:paraId="47B4423D" w14:textId="48A7E93F"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77777777"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1F185155" w14:textId="77777777" w:rsidR="00182962" w:rsidRPr="00182962" w:rsidRDefault="00182962" w:rsidP="00182962">
      <w:pPr>
        <w:jc w:val="both"/>
        <w:rPr>
          <w:rFonts w:cs="David"/>
          <w:u w:val="single"/>
          <w:rtl/>
          <w:lang w:eastAsia="he-IL"/>
        </w:rPr>
      </w:pPr>
      <w:r w:rsidRPr="00182962">
        <w:rPr>
          <w:rFonts w:cs="David"/>
          <w:u w:val="single"/>
          <w:rtl/>
          <w:lang w:eastAsia="he-IL"/>
        </w:rPr>
        <w:t>חברי הועדה המייעצת</w:t>
      </w:r>
      <w:r w:rsidRPr="00182962">
        <w:rPr>
          <w:rFonts w:cs="David" w:hint="cs"/>
          <w:u w:val="single"/>
          <w:rtl/>
          <w:lang w:eastAsia="he-IL"/>
        </w:rPr>
        <w:t xml:space="preserve"> לכרכים ד-ט</w:t>
      </w:r>
      <w:r w:rsidRPr="00182962">
        <w:rPr>
          <w:rFonts w:cs="David"/>
          <w:u w:val="single"/>
          <w:rtl/>
          <w:lang w:eastAsia="he-IL"/>
        </w:rPr>
        <w:t>:</w:t>
      </w:r>
    </w:p>
    <w:p w14:paraId="02F4DF28" w14:textId="77777777" w:rsidR="00182962" w:rsidRPr="00182962" w:rsidRDefault="00182962" w:rsidP="00182962">
      <w:pPr>
        <w:jc w:val="both"/>
        <w:rPr>
          <w:rFonts w:cs="David"/>
          <w:sz w:val="23"/>
          <w:szCs w:val="23"/>
          <w:rtl/>
          <w:lang w:eastAsia="he-IL"/>
        </w:rPr>
      </w:pPr>
      <w:r w:rsidRPr="00182962">
        <w:rPr>
          <w:rFonts w:cs="David"/>
          <w:sz w:val="23"/>
          <w:szCs w:val="23"/>
          <w:rtl/>
          <w:lang w:eastAsia="he-IL"/>
        </w:rPr>
        <w:t>הרב זלמן נחמיה גולדברג</w:t>
      </w:r>
    </w:p>
    <w:p w14:paraId="0721BAA1" w14:textId="77777777" w:rsidR="00182962" w:rsidRPr="00182962" w:rsidRDefault="00182962" w:rsidP="00182962">
      <w:pPr>
        <w:jc w:val="both"/>
        <w:rPr>
          <w:rFonts w:cs="David"/>
          <w:sz w:val="23"/>
          <w:szCs w:val="23"/>
          <w:rtl/>
          <w:lang w:eastAsia="he-IL"/>
        </w:rPr>
      </w:pPr>
      <w:r w:rsidRPr="00182962">
        <w:rPr>
          <w:rFonts w:cs="David"/>
          <w:sz w:val="23"/>
          <w:szCs w:val="23"/>
          <w:rtl/>
          <w:lang w:eastAsia="he-IL"/>
        </w:rPr>
        <w:t>הרב נחום אליעזר רבינוביץ</w:t>
      </w:r>
    </w:p>
    <w:p w14:paraId="340175B4" w14:textId="77777777" w:rsidR="00182962" w:rsidRPr="00182962" w:rsidRDefault="00182962" w:rsidP="00182962">
      <w:pPr>
        <w:jc w:val="both"/>
        <w:rPr>
          <w:rFonts w:cs="David"/>
          <w:sz w:val="23"/>
          <w:szCs w:val="23"/>
          <w:rtl/>
          <w:lang w:eastAsia="he-IL"/>
        </w:rPr>
      </w:pPr>
      <w:r w:rsidRPr="00182962">
        <w:rPr>
          <w:rFonts w:cs="David"/>
          <w:sz w:val="23"/>
          <w:szCs w:val="23"/>
          <w:rtl/>
          <w:lang w:eastAsia="he-IL"/>
        </w:rPr>
        <w:t>הרב ישראל רוזן</w:t>
      </w:r>
    </w:p>
    <w:p w14:paraId="10F87A5D" w14:textId="77777777" w:rsidR="005F52BE" w:rsidRPr="00A9543F" w:rsidRDefault="005F52BE" w:rsidP="00A9543F">
      <w:pPr>
        <w:ind w:left="2695"/>
        <w:contextualSpacing/>
        <w:jc w:val="center"/>
        <w:rPr>
          <w:rFonts w:cs="David"/>
          <w:rtl/>
          <w:lang w:eastAsia="he-IL"/>
        </w:rPr>
      </w:pPr>
    </w:p>
    <w:p w14:paraId="5ADC1DF4" w14:textId="77777777" w:rsidR="000865B7" w:rsidRPr="009D171D" w:rsidRDefault="000865B7" w:rsidP="00F35BD1">
      <w:pPr>
        <w:contextualSpacing/>
        <w:jc w:val="both"/>
        <w:rPr>
          <w:rFonts w:cs="David"/>
          <w:sz w:val="16"/>
          <w:szCs w:val="16"/>
          <w:rtl/>
          <w:lang w:eastAsia="he-IL"/>
        </w:rPr>
      </w:pPr>
    </w:p>
    <w:p w14:paraId="3686D5D4" w14:textId="77777777" w:rsidR="005F52BE" w:rsidRDefault="00E10E0A" w:rsidP="00FF2FCA">
      <w:pPr>
        <w:contextualSpacing/>
        <w:jc w:val="center"/>
        <w:rPr>
          <w:rStyle w:val="Hyperlink"/>
          <w:rFonts w:cs="David"/>
          <w:b/>
          <w:bCs/>
          <w:color w:val="002060"/>
          <w:u w:val="none"/>
          <w:rtl/>
          <w:lang w:eastAsia="he-IL"/>
        </w:rPr>
      </w:pPr>
      <w:hyperlink r:id="rId19"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p w14:paraId="5CBC4B58" w14:textId="77777777" w:rsidR="005F52BE" w:rsidRDefault="005F52BE" w:rsidP="00FF2FCA">
      <w:pPr>
        <w:contextualSpacing/>
        <w:jc w:val="center"/>
        <w:rPr>
          <w:rStyle w:val="Hyperlink"/>
          <w:rFonts w:cs="David"/>
          <w:b/>
          <w:bCs/>
          <w:color w:val="002060"/>
          <w:u w:val="none"/>
          <w:rtl/>
          <w:lang w:eastAsia="he-IL"/>
        </w:rPr>
      </w:pPr>
    </w:p>
    <w:p w14:paraId="49760DB4" w14:textId="6DC5EA59" w:rsidR="000865B7" w:rsidRDefault="000865B7" w:rsidP="00FF2FCA">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0" w:history="1">
        <w:r w:rsidRPr="00A355EC">
          <w:rPr>
            <w:rFonts w:cs="David"/>
            <w:b/>
            <w:bCs/>
            <w:color w:val="0070C0"/>
            <w:u w:val="single"/>
            <w:lang w:eastAsia="he-IL"/>
          </w:rPr>
          <w:t>info@eretzhemdah.org</w:t>
        </w:r>
      </w:hyperlink>
    </w:p>
    <w:p w14:paraId="0BCB9BAE" w14:textId="3E6C7C84" w:rsidR="00E10E0A" w:rsidRDefault="00E10E0A" w:rsidP="00E10E0A">
      <w:pPr>
        <w:contextualSpacing/>
        <w:rPr>
          <w:rFonts w:cs="David"/>
          <w:rtl/>
        </w:rPr>
      </w:pPr>
    </w:p>
    <w:p w14:paraId="62F1B595" w14:textId="6DD008F7" w:rsidR="00E10E0A" w:rsidRDefault="00E10E0A" w:rsidP="00E10E0A">
      <w:pPr>
        <w:contextualSpacing/>
        <w:rPr>
          <w:rFonts w:cs="David"/>
          <w:rtl/>
        </w:rPr>
      </w:pPr>
    </w:p>
    <w:p w14:paraId="60F4E4E3" w14:textId="77777777" w:rsidR="00E10E0A" w:rsidRDefault="00E10E0A" w:rsidP="00E10E0A">
      <w:pPr>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E10E0A" w:rsidRPr="005648DA" w14:paraId="393C91C7" w14:textId="77777777" w:rsidTr="002B072C">
        <w:tc>
          <w:tcPr>
            <w:tcW w:w="7224" w:type="dxa"/>
            <w:gridSpan w:val="13"/>
            <w:tcBorders>
              <w:top w:val="single" w:sz="4" w:space="0" w:color="auto"/>
              <w:left w:val="single" w:sz="4" w:space="0" w:color="auto"/>
              <w:bottom w:val="nil"/>
              <w:right w:val="nil"/>
            </w:tcBorders>
            <w:vAlign w:val="center"/>
          </w:tcPr>
          <w:p w14:paraId="59118E8B" w14:textId="77777777" w:rsidR="00E10E0A" w:rsidRPr="005648DA" w:rsidRDefault="00E10E0A" w:rsidP="002B072C">
            <w:pPr>
              <w:spacing w:line="300" w:lineRule="auto"/>
              <w:contextualSpacing/>
              <w:jc w:val="center"/>
              <w:rPr>
                <w:rFonts w:cs="David"/>
                <w:b/>
                <w:bCs/>
                <w:sz w:val="6"/>
                <w:szCs w:val="6"/>
                <w:u w:val="single"/>
                <w:rtl/>
              </w:rPr>
            </w:pPr>
          </w:p>
          <w:p w14:paraId="11964FBA" w14:textId="77777777" w:rsidR="00E10E0A" w:rsidRPr="005648DA" w:rsidRDefault="00E10E0A" w:rsidP="002B072C">
            <w:pPr>
              <w:spacing w:line="300"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4E7D5542" w14:textId="77777777" w:rsidR="00E10E0A" w:rsidRPr="002D3018" w:rsidRDefault="00E10E0A" w:rsidP="002B072C">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E10E0A" w:rsidRPr="005648DA" w14:paraId="6A42BFC7" w14:textId="77777777" w:rsidTr="002B072C">
        <w:tc>
          <w:tcPr>
            <w:tcW w:w="1967" w:type="dxa"/>
            <w:gridSpan w:val="2"/>
            <w:tcBorders>
              <w:top w:val="nil"/>
              <w:left w:val="single" w:sz="4" w:space="0" w:color="auto"/>
              <w:bottom w:val="nil"/>
              <w:right w:val="nil"/>
            </w:tcBorders>
            <w:vAlign w:val="center"/>
          </w:tcPr>
          <w:p w14:paraId="63B16019" w14:textId="77777777" w:rsidR="00E10E0A" w:rsidRPr="005648DA" w:rsidRDefault="00E10E0A" w:rsidP="002B072C">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26C092FF"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44D41A67"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1805AC20"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2CA8FEC6" w14:textId="77777777" w:rsidR="00E10E0A" w:rsidRPr="005648DA" w:rsidRDefault="00E10E0A" w:rsidP="002B072C">
            <w:pPr>
              <w:spacing w:line="300" w:lineRule="auto"/>
              <w:contextualSpacing/>
              <w:jc w:val="center"/>
              <w:rPr>
                <w:rFonts w:cs="David"/>
                <w:b/>
                <w:bCs/>
                <w:color w:val="0070C0"/>
                <w:sz w:val="19"/>
                <w:szCs w:val="19"/>
              </w:rPr>
            </w:pPr>
          </w:p>
        </w:tc>
      </w:tr>
      <w:tr w:rsidR="00E10E0A" w:rsidRPr="005648DA" w14:paraId="34065B9D" w14:textId="77777777" w:rsidTr="002B072C">
        <w:tc>
          <w:tcPr>
            <w:tcW w:w="281" w:type="dxa"/>
            <w:tcBorders>
              <w:top w:val="nil"/>
              <w:left w:val="single" w:sz="4" w:space="0" w:color="auto"/>
              <w:bottom w:val="nil"/>
              <w:right w:val="nil"/>
            </w:tcBorders>
            <w:vAlign w:val="center"/>
          </w:tcPr>
          <w:p w14:paraId="1DC42AEF" w14:textId="77777777" w:rsidR="00E10E0A" w:rsidRPr="005648DA" w:rsidRDefault="00E10E0A" w:rsidP="002B072C">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09AFCD0C"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3859FE02" w14:textId="77777777" w:rsidR="00E10E0A" w:rsidRPr="005648DA" w:rsidRDefault="00E10E0A" w:rsidP="002B072C">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6F72527D" w14:textId="77777777" w:rsidR="00E10E0A" w:rsidRPr="005648DA" w:rsidRDefault="00E10E0A" w:rsidP="002B072C">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0FD3755B"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3E49E5EC"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E10E0A" w:rsidRPr="005648DA" w14:paraId="33A442C5" w14:textId="77777777" w:rsidTr="002B072C">
        <w:tc>
          <w:tcPr>
            <w:tcW w:w="1978" w:type="dxa"/>
            <w:gridSpan w:val="3"/>
            <w:tcBorders>
              <w:top w:val="nil"/>
              <w:left w:val="single" w:sz="4" w:space="0" w:color="auto"/>
              <w:bottom w:val="nil"/>
              <w:right w:val="nil"/>
            </w:tcBorders>
            <w:vAlign w:val="center"/>
          </w:tcPr>
          <w:p w14:paraId="72F55772"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4928A035"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3696EB65" w14:textId="77777777" w:rsidR="00E10E0A" w:rsidRPr="005648DA" w:rsidRDefault="00E10E0A" w:rsidP="002B072C">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56D148DF" w14:textId="77777777" w:rsidR="00E10E0A" w:rsidRPr="005648DA" w:rsidRDefault="00E10E0A" w:rsidP="002B072C">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35E58248" w14:textId="77777777" w:rsidR="00E10E0A" w:rsidRPr="005648DA" w:rsidRDefault="00E10E0A" w:rsidP="002B072C">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40C3D3E1"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E10E0A" w:rsidRPr="005648DA" w14:paraId="1078C4FB" w14:textId="77777777" w:rsidTr="002B072C">
        <w:tc>
          <w:tcPr>
            <w:tcW w:w="2113" w:type="dxa"/>
            <w:gridSpan w:val="4"/>
            <w:tcBorders>
              <w:top w:val="nil"/>
              <w:left w:val="single" w:sz="4" w:space="0" w:color="auto"/>
              <w:bottom w:val="nil"/>
              <w:right w:val="nil"/>
            </w:tcBorders>
            <w:vAlign w:val="center"/>
          </w:tcPr>
          <w:p w14:paraId="3FA245D9"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F5E7E35"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771C9210" w14:textId="77777777" w:rsidR="00E10E0A" w:rsidRPr="005648DA" w:rsidRDefault="00E10E0A" w:rsidP="002B072C">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1E1C75B6"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44DC915F"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5CC1C393" w14:textId="77777777" w:rsidR="00E10E0A" w:rsidRPr="005648DA" w:rsidRDefault="00E10E0A" w:rsidP="002B072C">
            <w:pPr>
              <w:spacing w:line="300" w:lineRule="auto"/>
              <w:contextualSpacing/>
              <w:jc w:val="center"/>
              <w:rPr>
                <w:rFonts w:cs="David"/>
                <w:b/>
                <w:bCs/>
                <w:color w:val="0070C0"/>
                <w:sz w:val="19"/>
                <w:szCs w:val="19"/>
                <w:rtl/>
              </w:rPr>
            </w:pPr>
          </w:p>
        </w:tc>
      </w:tr>
      <w:tr w:rsidR="00E10E0A" w:rsidRPr="005648DA" w14:paraId="50787C92" w14:textId="77777777" w:rsidTr="002B072C">
        <w:tc>
          <w:tcPr>
            <w:tcW w:w="2122" w:type="dxa"/>
            <w:gridSpan w:val="5"/>
            <w:tcBorders>
              <w:top w:val="nil"/>
              <w:left w:val="single" w:sz="4" w:space="0" w:color="auto"/>
              <w:bottom w:val="single" w:sz="4" w:space="0" w:color="auto"/>
              <w:right w:val="nil"/>
            </w:tcBorders>
            <w:vAlign w:val="center"/>
          </w:tcPr>
          <w:p w14:paraId="04299E37" w14:textId="77777777" w:rsidR="00E10E0A" w:rsidRPr="00E52D0C" w:rsidRDefault="00E10E0A" w:rsidP="002B072C">
            <w:pPr>
              <w:spacing w:line="300" w:lineRule="auto"/>
              <w:contextualSpacing/>
              <w:jc w:val="center"/>
              <w:rPr>
                <w:rFonts w:ascii="David" w:hAnsi="David" w:cs="David"/>
                <w:b/>
                <w:bCs/>
                <w:color w:val="0070C0"/>
                <w:sz w:val="19"/>
                <w:szCs w:val="19"/>
                <w:rtl/>
              </w:rPr>
            </w:pPr>
            <w:r>
              <w:rPr>
                <w:rFonts w:ascii="David" w:hAnsi="David" w:cs="David" w:hint="cs"/>
                <w:b/>
                <w:bCs/>
                <w:color w:val="0070C0"/>
                <w:sz w:val="19"/>
                <w:szCs w:val="19"/>
                <w:rtl/>
              </w:rPr>
              <w:t>יוסף בן רות</w:t>
            </w:r>
          </w:p>
        </w:tc>
        <w:tc>
          <w:tcPr>
            <w:tcW w:w="2410" w:type="dxa"/>
            <w:gridSpan w:val="3"/>
            <w:tcBorders>
              <w:top w:val="nil"/>
              <w:left w:val="nil"/>
              <w:bottom w:val="single" w:sz="4" w:space="0" w:color="auto"/>
              <w:right w:val="nil"/>
            </w:tcBorders>
            <w:vAlign w:val="center"/>
          </w:tcPr>
          <w:p w14:paraId="4BA74CF7" w14:textId="77777777" w:rsidR="00E10E0A" w:rsidRPr="005648DA" w:rsidRDefault="00E10E0A" w:rsidP="002B072C">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6C408747" w14:textId="77777777" w:rsidR="00E10E0A" w:rsidRPr="005648DA" w:rsidRDefault="00E10E0A" w:rsidP="002B072C">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0292B00C" w14:textId="77777777" w:rsidR="00E10E0A" w:rsidRPr="005648DA" w:rsidRDefault="00E10E0A" w:rsidP="002B072C">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7276F7E9" w14:textId="77777777" w:rsidR="00E10E0A" w:rsidRDefault="00E10E0A" w:rsidP="00E10E0A">
      <w:pPr>
        <w:contextualSpacing/>
        <w:rPr>
          <w:rFonts w:cs="David" w:hint="cs"/>
          <w:rtl/>
        </w:rPr>
      </w:pPr>
    </w:p>
    <w:sectPr w:rsidR="00E10E0A" w:rsidSect="00724165">
      <w:headerReference w:type="default" r:id="rId21"/>
      <w:headerReference w:type="first" r:id="rId22"/>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BC54C1D" w:rsidR="003056AF" w:rsidRPr="00FA505B" w:rsidRDefault="00182962"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פנחס</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0"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1"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5"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9"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3"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4"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9"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0"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1"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2"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54AAE"/>
    <w:multiLevelType w:val="hybridMultilevel"/>
    <w:tmpl w:val="BCBC3332"/>
    <w:lvl w:ilvl="0" w:tplc="B63A5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5"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6"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0"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7"/>
  </w:num>
  <w:num w:numId="2">
    <w:abstractNumId w:val="27"/>
  </w:num>
  <w:num w:numId="3">
    <w:abstractNumId w:val="20"/>
  </w:num>
  <w:num w:numId="4">
    <w:abstractNumId w:val="18"/>
  </w:num>
  <w:num w:numId="5">
    <w:abstractNumId w:val="35"/>
  </w:num>
  <w:num w:numId="6">
    <w:abstractNumId w:val="28"/>
  </w:num>
  <w:num w:numId="7">
    <w:abstractNumId w:val="24"/>
  </w:num>
  <w:num w:numId="8">
    <w:abstractNumId w:val="15"/>
  </w:num>
  <w:num w:numId="9">
    <w:abstractNumId w:val="2"/>
  </w:num>
  <w:num w:numId="10">
    <w:abstractNumId w:val="8"/>
  </w:num>
  <w:num w:numId="11">
    <w:abstractNumId w:val="11"/>
  </w:num>
  <w:num w:numId="12">
    <w:abstractNumId w:val="39"/>
  </w:num>
  <w:num w:numId="13">
    <w:abstractNumId w:val="7"/>
  </w:num>
  <w:num w:numId="14">
    <w:abstractNumId w:val="40"/>
  </w:num>
  <w:num w:numId="15">
    <w:abstractNumId w:val="10"/>
  </w:num>
  <w:num w:numId="16">
    <w:abstractNumId w:val="14"/>
  </w:num>
  <w:num w:numId="17">
    <w:abstractNumId w:val="31"/>
  </w:num>
  <w:num w:numId="18">
    <w:abstractNumId w:val="17"/>
  </w:num>
  <w:num w:numId="19">
    <w:abstractNumId w:val="38"/>
  </w:num>
  <w:num w:numId="20">
    <w:abstractNumId w:val="21"/>
  </w:num>
  <w:num w:numId="21">
    <w:abstractNumId w:val="19"/>
  </w:num>
  <w:num w:numId="22">
    <w:abstractNumId w:val="16"/>
  </w:num>
  <w:num w:numId="23">
    <w:abstractNumId w:val="29"/>
  </w:num>
  <w:num w:numId="24">
    <w:abstractNumId w:val="13"/>
  </w:num>
  <w:num w:numId="25">
    <w:abstractNumId w:val="36"/>
  </w:num>
  <w:num w:numId="26">
    <w:abstractNumId w:val="3"/>
  </w:num>
  <w:num w:numId="27">
    <w:abstractNumId w:val="12"/>
  </w:num>
  <w:num w:numId="28">
    <w:abstractNumId w:val="6"/>
  </w:num>
  <w:num w:numId="29">
    <w:abstractNumId w:val="1"/>
  </w:num>
  <w:num w:numId="30">
    <w:abstractNumId w:val="34"/>
  </w:num>
  <w:num w:numId="31">
    <w:abstractNumId w:val="9"/>
  </w:num>
  <w:num w:numId="32">
    <w:abstractNumId w:val="23"/>
  </w:num>
  <w:num w:numId="33">
    <w:abstractNumId w:val="26"/>
  </w:num>
  <w:num w:numId="34">
    <w:abstractNumId w:val="25"/>
  </w:num>
  <w:num w:numId="35">
    <w:abstractNumId w:val="22"/>
  </w:num>
  <w:num w:numId="36">
    <w:abstractNumId w:val="30"/>
  </w:num>
  <w:num w:numId="37">
    <w:abstractNumId w:val="5"/>
  </w:num>
  <w:num w:numId="38">
    <w:abstractNumId w:val="32"/>
  </w:num>
  <w:num w:numId="39">
    <w:abstractNumId w:val="4"/>
  </w:num>
  <w:num w:numId="40">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962"/>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0C4"/>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0F8"/>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8FE"/>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236"/>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0E0A"/>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4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2092</Words>
  <Characters>9889</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6</cp:revision>
  <cp:lastPrinted>2025-01-30T11:17:00Z</cp:lastPrinted>
  <dcterms:created xsi:type="dcterms:W3CDTF">2026-06-30T11:51:00Z</dcterms:created>
  <dcterms:modified xsi:type="dcterms:W3CDTF">2026-07-02T11:10:00Z</dcterms:modified>
</cp:coreProperties>
</file>