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36EFD235"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0F2BFB">
              <w:rPr>
                <w:b/>
                <w:bCs/>
                <w:color w:val="D85640"/>
                <w:sz w:val="24"/>
                <w:szCs w:val="24"/>
              </w:rPr>
              <w:t>Eikev</w:t>
            </w:r>
            <w:proofErr w:type="spellEnd"/>
            <w:r w:rsidR="00563D69" w:rsidRPr="00BC2414">
              <w:rPr>
                <w:b/>
                <w:bCs/>
                <w:color w:val="D85640"/>
                <w:sz w:val="24"/>
                <w:szCs w:val="24"/>
              </w:rPr>
              <w:t>,</w:t>
            </w:r>
            <w:r w:rsidR="00DB429E" w:rsidRPr="00BC2414">
              <w:rPr>
                <w:b/>
                <w:bCs/>
                <w:color w:val="D85640"/>
                <w:sz w:val="24"/>
                <w:szCs w:val="24"/>
              </w:rPr>
              <w:t xml:space="preserve"> </w:t>
            </w:r>
            <w:r w:rsidR="00045C4C">
              <w:rPr>
                <w:b/>
                <w:bCs/>
                <w:color w:val="D85640"/>
                <w:sz w:val="24"/>
                <w:szCs w:val="24"/>
              </w:rPr>
              <w:t>Av</w:t>
            </w:r>
            <w:r w:rsidR="00092F46">
              <w:rPr>
                <w:b/>
                <w:bCs/>
                <w:color w:val="D85640"/>
                <w:sz w:val="24"/>
                <w:szCs w:val="24"/>
              </w:rPr>
              <w:t xml:space="preserve"> </w:t>
            </w:r>
            <w:r w:rsidR="00C40B82">
              <w:rPr>
                <w:b/>
                <w:bCs/>
                <w:color w:val="D85640"/>
                <w:sz w:val="24"/>
                <w:szCs w:val="24"/>
              </w:rPr>
              <w:t>1</w:t>
            </w:r>
            <w:r w:rsidR="000F2BFB">
              <w:rPr>
                <w:b/>
                <w:bCs/>
                <w:color w:val="D85640"/>
                <w:sz w:val="24"/>
                <w:szCs w:val="24"/>
              </w:rPr>
              <w:t>8</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0F16FEC" w14:textId="77777777" w:rsidR="00235976" w:rsidRPr="00235976" w:rsidRDefault="00235976" w:rsidP="00235976">
            <w:pPr>
              <w:jc w:val="center"/>
              <w:rPr>
                <w:color w:val="002060"/>
                <w:sz w:val="26"/>
                <w:szCs w:val="26"/>
              </w:rPr>
            </w:pPr>
            <w:r w:rsidRPr="00235976">
              <w:rPr>
                <w:b/>
                <w:bCs/>
                <w:color w:val="002060"/>
                <w:sz w:val="26"/>
                <w:szCs w:val="26"/>
              </w:rPr>
              <w:t xml:space="preserve">On Divine Spirit, Torah Scholar, Manipulation, and One </w:t>
            </w:r>
            <w:proofErr w:type="spellStart"/>
            <w:r w:rsidRPr="00235976">
              <w:rPr>
                <w:b/>
                <w:bCs/>
                <w:color w:val="002060"/>
                <w:sz w:val="26"/>
                <w:szCs w:val="26"/>
              </w:rPr>
              <w:t>Achitofel</w:t>
            </w:r>
            <w:proofErr w:type="spellEnd"/>
          </w:p>
          <w:p w14:paraId="35109E43" w14:textId="06995464" w:rsidR="00C33C5A" w:rsidRPr="002A65C7" w:rsidRDefault="00650CBD" w:rsidP="00650CBD">
            <w:pPr>
              <w:bidi w:val="0"/>
              <w:jc w:val="center"/>
              <w:rPr>
                <w:color w:val="002060"/>
              </w:rPr>
            </w:pPr>
            <w:proofErr w:type="spellStart"/>
            <w:r w:rsidRPr="001834E1">
              <w:rPr>
                <w:color w:val="002060"/>
              </w:rPr>
              <w:t>Harav</w:t>
            </w:r>
            <w:proofErr w:type="spellEnd"/>
            <w:r w:rsidRPr="001834E1">
              <w:rPr>
                <w:color w:val="002060"/>
              </w:rPr>
              <w:t xml:space="preserve"> Yosef Carmel</w:t>
            </w: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3FE3F235" w14:textId="77777777" w:rsidR="00235976" w:rsidRDefault="00235976" w:rsidP="00235976">
      <w:pPr>
        <w:bidi w:val="0"/>
        <w:ind w:firstLine="426"/>
      </w:pPr>
      <w:r>
        <w:t xml:space="preserve">“The counsel of </w:t>
      </w:r>
      <w:proofErr w:type="spellStart"/>
      <w:r>
        <w:t>Achitofel</w:t>
      </w:r>
      <w:proofErr w:type="spellEnd"/>
      <w:r>
        <w:t xml:space="preserve">, which he gave in those days, was like one asking the word of Hashem. So was the counsel of </w:t>
      </w:r>
      <w:proofErr w:type="spellStart"/>
      <w:r>
        <w:t>Achitofel</w:t>
      </w:r>
      <w:proofErr w:type="spellEnd"/>
      <w:r>
        <w:t xml:space="preserve"> for David and for </w:t>
      </w:r>
      <w:proofErr w:type="spellStart"/>
      <w:r>
        <w:t>Avshalom</w:t>
      </w:r>
      <w:proofErr w:type="spellEnd"/>
      <w:r>
        <w:t xml:space="preserve">” (Shmuel II 16:23). In all of </w:t>
      </w:r>
      <w:r>
        <w:rPr>
          <w:i/>
          <w:iCs/>
        </w:rPr>
        <w:t xml:space="preserve">Tanach, </w:t>
      </w:r>
      <w:r>
        <w:t xml:space="preserve">only </w:t>
      </w:r>
      <w:proofErr w:type="spellStart"/>
      <w:r>
        <w:t>Achitofel</w:t>
      </w:r>
      <w:proofErr w:type="spellEnd"/>
      <w:r>
        <w:t xml:space="preserve"> received a compliment quite like that.</w:t>
      </w:r>
    </w:p>
    <w:p w14:paraId="26CFA19D" w14:textId="77777777" w:rsidR="00235976" w:rsidRDefault="00235976" w:rsidP="00235976">
      <w:pPr>
        <w:bidi w:val="0"/>
        <w:ind w:firstLine="426"/>
      </w:pPr>
      <w:r>
        <w:t xml:space="preserve">The </w:t>
      </w:r>
      <w:proofErr w:type="spellStart"/>
      <w:r>
        <w:t>Yerushalmi</w:t>
      </w:r>
      <w:proofErr w:type="spellEnd"/>
      <w:r>
        <w:t xml:space="preserve"> (Sanhedrin 10:2) tells that </w:t>
      </w:r>
      <w:proofErr w:type="spellStart"/>
      <w:r>
        <w:t>Achitofel</w:t>
      </w:r>
      <w:proofErr w:type="spellEnd"/>
      <w:r>
        <w:t xml:space="preserve"> could tell people what to do that only could be known through prophesy and the like (e.g., </w:t>
      </w:r>
      <w:proofErr w:type="spellStart"/>
      <w:r>
        <w:rPr>
          <w:i/>
          <w:iCs/>
        </w:rPr>
        <w:t>urim</w:t>
      </w:r>
      <w:proofErr w:type="spellEnd"/>
      <w:r>
        <w:rPr>
          <w:i/>
          <w:iCs/>
        </w:rPr>
        <w:t xml:space="preserve"> </w:t>
      </w:r>
      <w:proofErr w:type="spellStart"/>
      <w:r>
        <w:rPr>
          <w:i/>
          <w:iCs/>
        </w:rPr>
        <w:t>v’tumim</w:t>
      </w:r>
      <w:proofErr w:type="spellEnd"/>
      <w:r>
        <w:t xml:space="preserve">). This includes the plans that Shmuel gave David about how to build the </w:t>
      </w:r>
      <w:r>
        <w:rPr>
          <w:i/>
          <w:iCs/>
        </w:rPr>
        <w:t xml:space="preserve">Beit </w:t>
      </w:r>
      <w:proofErr w:type="spellStart"/>
      <w:r>
        <w:rPr>
          <w:i/>
          <w:iCs/>
        </w:rPr>
        <w:t>Hamikdash</w:t>
      </w:r>
      <w:proofErr w:type="spellEnd"/>
      <w:r>
        <w:t xml:space="preserve"> (see </w:t>
      </w:r>
      <w:proofErr w:type="spellStart"/>
      <w:r>
        <w:t>Divrei</w:t>
      </w:r>
      <w:proofErr w:type="spellEnd"/>
      <w:r>
        <w:t xml:space="preserve"> </w:t>
      </w:r>
      <w:proofErr w:type="spellStart"/>
      <w:r>
        <w:t>Hayamim</w:t>
      </w:r>
      <w:proofErr w:type="spellEnd"/>
      <w:r>
        <w:t xml:space="preserve"> I 28:11-20). </w:t>
      </w:r>
    </w:p>
    <w:p w14:paraId="0677CD05" w14:textId="77777777" w:rsidR="00235976" w:rsidRDefault="00235976" w:rsidP="00235976">
      <w:pPr>
        <w:bidi w:val="0"/>
        <w:ind w:firstLine="426"/>
      </w:pPr>
      <w:r>
        <w:t xml:space="preserve">The </w:t>
      </w:r>
      <w:proofErr w:type="spellStart"/>
      <w:r>
        <w:t>Yerushalmi</w:t>
      </w:r>
      <w:proofErr w:type="spellEnd"/>
      <w:r>
        <w:t xml:space="preserve"> continues with additional examples of people who asked his advice and received clear answers. If someone had doubts about the advice, </w:t>
      </w:r>
      <w:proofErr w:type="spellStart"/>
      <w:r>
        <w:t>Achitofel</w:t>
      </w:r>
      <w:proofErr w:type="spellEnd"/>
      <w:r>
        <w:t xml:space="preserve"> would tell him to check with the </w:t>
      </w:r>
      <w:proofErr w:type="spellStart"/>
      <w:r>
        <w:rPr>
          <w:i/>
          <w:iCs/>
        </w:rPr>
        <w:t>urim</w:t>
      </w:r>
      <w:proofErr w:type="spellEnd"/>
      <w:r>
        <w:rPr>
          <w:i/>
          <w:iCs/>
        </w:rPr>
        <w:t xml:space="preserve"> </w:t>
      </w:r>
      <w:proofErr w:type="spellStart"/>
      <w:r>
        <w:rPr>
          <w:i/>
          <w:iCs/>
        </w:rPr>
        <w:t>v’tumim</w:t>
      </w:r>
      <w:proofErr w:type="spellEnd"/>
      <w:r>
        <w:t xml:space="preserve">, and it would regularly confirm his being right. These occurrences bolstered </w:t>
      </w:r>
      <w:proofErr w:type="spellStart"/>
      <w:r>
        <w:t>Achitofel’s</w:t>
      </w:r>
      <w:proofErr w:type="spellEnd"/>
      <w:r>
        <w:t xml:space="preserve"> stature, so that his ideas were considered godly, and he was a personification of the holy </w:t>
      </w:r>
      <w:proofErr w:type="spellStart"/>
      <w:r>
        <w:rPr>
          <w:i/>
          <w:iCs/>
        </w:rPr>
        <w:t>urim</w:t>
      </w:r>
      <w:proofErr w:type="spellEnd"/>
      <w:r>
        <w:rPr>
          <w:i/>
          <w:iCs/>
        </w:rPr>
        <w:t xml:space="preserve"> </w:t>
      </w:r>
      <w:proofErr w:type="spellStart"/>
      <w:r>
        <w:rPr>
          <w:i/>
          <w:iCs/>
        </w:rPr>
        <w:t>v’tumim</w:t>
      </w:r>
      <w:proofErr w:type="spellEnd"/>
      <w:r>
        <w:rPr>
          <w:i/>
          <w:iCs/>
        </w:rPr>
        <w:t xml:space="preserve"> </w:t>
      </w:r>
      <w:r>
        <w:t xml:space="preserve">that rested on </w:t>
      </w:r>
      <w:proofErr w:type="spellStart"/>
      <w:r>
        <w:t>Aharon’s</w:t>
      </w:r>
      <w:proofErr w:type="spellEnd"/>
      <w:r>
        <w:t xml:space="preserve"> chest. He was viewed as on a much higher plane than a normal human being. This explains the unusual compliment he received in </w:t>
      </w:r>
      <w:r>
        <w:rPr>
          <w:i/>
          <w:iCs/>
        </w:rPr>
        <w:t>Tanach</w:t>
      </w:r>
      <w:r>
        <w:t xml:space="preserve">. </w:t>
      </w:r>
    </w:p>
    <w:p w14:paraId="3D00E925" w14:textId="77777777" w:rsidR="00235976" w:rsidRDefault="00235976" w:rsidP="00235976">
      <w:pPr>
        <w:bidi w:val="0"/>
        <w:ind w:firstLine="426"/>
      </w:pPr>
      <w:r>
        <w:t xml:space="preserve">The problem is that the </w:t>
      </w:r>
      <w:proofErr w:type="spellStart"/>
      <w:r>
        <w:rPr>
          <w:i/>
          <w:iCs/>
        </w:rPr>
        <w:t>p’sukim</w:t>
      </w:r>
      <w:proofErr w:type="spellEnd"/>
      <w:r>
        <w:t xml:space="preserve"> previous to the praise tell us of </w:t>
      </w:r>
      <w:proofErr w:type="spellStart"/>
      <w:r>
        <w:t>Achitofel’s</w:t>
      </w:r>
      <w:proofErr w:type="spellEnd"/>
      <w:r>
        <w:t xml:space="preserve"> counsel to </w:t>
      </w:r>
      <w:proofErr w:type="spellStart"/>
      <w:r>
        <w:t>Avshalom</w:t>
      </w:r>
      <w:proofErr w:type="spellEnd"/>
      <w:r>
        <w:t xml:space="preserve">, the stench of which lasts through the generations. He told </w:t>
      </w:r>
      <w:proofErr w:type="spellStart"/>
      <w:r>
        <w:t>Avshalom</w:t>
      </w:r>
      <w:proofErr w:type="spellEnd"/>
      <w:r>
        <w:t xml:space="preserve"> to have relations with his father’s concubines in a manner that would show the strongest disrespect for this father (Shmuel II 16:20-21). This disgusting advice came right after </w:t>
      </w:r>
      <w:proofErr w:type="spellStart"/>
      <w:r>
        <w:t>Avshalom</w:t>
      </w:r>
      <w:proofErr w:type="spellEnd"/>
      <w:r>
        <w:t xml:space="preserve"> turned to </w:t>
      </w:r>
      <w:proofErr w:type="spellStart"/>
      <w:r>
        <w:t>Achitofel</w:t>
      </w:r>
      <w:proofErr w:type="spellEnd"/>
      <w:r>
        <w:t xml:space="preserve"> in the most honorable manner. How could all of this have happened? </w:t>
      </w:r>
    </w:p>
    <w:p w14:paraId="66FD1059" w14:textId="77777777" w:rsidR="00235976" w:rsidRDefault="00235976" w:rsidP="00235976">
      <w:pPr>
        <w:bidi w:val="0"/>
        <w:ind w:firstLine="426"/>
      </w:pPr>
      <w:r>
        <w:t xml:space="preserve">In the same location in the </w:t>
      </w:r>
      <w:proofErr w:type="spellStart"/>
      <w:r>
        <w:t>Yerushalmi</w:t>
      </w:r>
      <w:proofErr w:type="spellEnd"/>
      <w:r>
        <w:t xml:space="preserve"> it tells how </w:t>
      </w:r>
      <w:proofErr w:type="spellStart"/>
      <w:r>
        <w:t>Achitofel</w:t>
      </w:r>
      <w:proofErr w:type="spellEnd"/>
      <w:r>
        <w:t xml:space="preserve"> set David up for possible death at the hand of a flood that almost developed when David dug the foundations of the </w:t>
      </w:r>
      <w:r>
        <w:rPr>
          <w:i/>
          <w:iCs/>
        </w:rPr>
        <w:t xml:space="preserve">Beit </w:t>
      </w:r>
      <w:proofErr w:type="spellStart"/>
      <w:r>
        <w:rPr>
          <w:i/>
          <w:iCs/>
        </w:rPr>
        <w:t>Hamikdash</w:t>
      </w:r>
      <w:proofErr w:type="spellEnd"/>
      <w:r>
        <w:t xml:space="preserve">. </w:t>
      </w:r>
      <w:proofErr w:type="spellStart"/>
      <w:r>
        <w:t>Achitofel’s</w:t>
      </w:r>
      <w:proofErr w:type="spellEnd"/>
      <w:r>
        <w:t xml:space="preserve"> rationale was his attempt to grab leadership for himself. Similarly, the </w:t>
      </w:r>
      <w:proofErr w:type="spellStart"/>
      <w:r>
        <w:rPr>
          <w:i/>
          <w:iCs/>
        </w:rPr>
        <w:t>gemara</w:t>
      </w:r>
      <w:proofErr w:type="spellEnd"/>
      <w:r>
        <w:rPr>
          <w:i/>
          <w:iCs/>
        </w:rPr>
        <w:t xml:space="preserve"> </w:t>
      </w:r>
      <w:r>
        <w:t xml:space="preserve">(Sanhedrin 101b) tells that </w:t>
      </w:r>
      <w:proofErr w:type="spellStart"/>
      <w:r>
        <w:t>Achitofel</w:t>
      </w:r>
      <w:proofErr w:type="spellEnd"/>
      <w:r>
        <w:t xml:space="preserve"> saw physical signs that could have indicated his ascension to the throne. He thought that if </w:t>
      </w:r>
      <w:proofErr w:type="spellStart"/>
      <w:r>
        <w:t>Avshalom</w:t>
      </w:r>
      <w:proofErr w:type="spellEnd"/>
      <w:r>
        <w:t xml:space="preserve"> would seize the kingship from David, it would be easier to wrest it from him. This certainly provides another angle at his shrewdness (see </w:t>
      </w:r>
      <w:proofErr w:type="spellStart"/>
      <w:r>
        <w:t>Rashi</w:t>
      </w:r>
      <w:proofErr w:type="spellEnd"/>
      <w:r>
        <w:t xml:space="preserve"> ad loc.). The Yad Ramah (ad loc.) says that </w:t>
      </w:r>
      <w:proofErr w:type="spellStart"/>
      <w:r>
        <w:t>Achitofel</w:t>
      </w:r>
      <w:proofErr w:type="spellEnd"/>
      <w:r>
        <w:t xml:space="preserve"> understood that he did not have the ability to take the throne from David, who was too brave and wise, and enjoyed too much deep-seated loyalty from the people. To appear innocent when </w:t>
      </w:r>
      <w:proofErr w:type="spellStart"/>
      <w:r>
        <w:t>Avshalom</w:t>
      </w:r>
      <w:proofErr w:type="spellEnd"/>
      <w:r>
        <w:t xml:space="preserve"> grabbed power and then trick and discredit him would have been much more doable. </w:t>
      </w:r>
    </w:p>
    <w:p w14:paraId="1569135B" w14:textId="77777777" w:rsidR="00235976" w:rsidRDefault="00235976" w:rsidP="00235976">
      <w:pPr>
        <w:bidi w:val="0"/>
        <w:ind w:firstLine="426"/>
      </w:pPr>
      <w:proofErr w:type="gramStart"/>
      <w:r>
        <w:t>So</w:t>
      </w:r>
      <w:proofErr w:type="gramEnd"/>
      <w:r>
        <w:t xml:space="preserve"> we see that </w:t>
      </w:r>
      <w:proofErr w:type="spellStart"/>
      <w:r>
        <w:t>Achitofel</w:t>
      </w:r>
      <w:proofErr w:type="spellEnd"/>
      <w:r>
        <w:t xml:space="preserve"> may have started out as a Torah scholar and one with divine spirit, but his great ego got him in trouble. As a result, he lost his place in this world and the world to come (see the recent </w:t>
      </w:r>
      <w:proofErr w:type="spellStart"/>
      <w:r>
        <w:t>Parashat</w:t>
      </w:r>
      <w:proofErr w:type="spellEnd"/>
      <w:r>
        <w:t xml:space="preserve"> </w:t>
      </w:r>
      <w:proofErr w:type="spellStart"/>
      <w:r>
        <w:t>Devarim</w:t>
      </w:r>
      <w:proofErr w:type="spellEnd"/>
      <w:r>
        <w:t xml:space="preserve"> column). </w:t>
      </w:r>
    </w:p>
    <w:p w14:paraId="7B18488C" w14:textId="77777777" w:rsidR="00235976" w:rsidRPr="00E97C64" w:rsidRDefault="00235976" w:rsidP="00235976">
      <w:pPr>
        <w:bidi w:val="0"/>
        <w:ind w:firstLine="426"/>
      </w:pPr>
      <w:r>
        <w:t xml:space="preserve">Let us pray for leaders like Avraham, Moshe, and David, who merited to symbolize proper leadership due to their humility. May we similarly have success in all of the national security efforts, as those who have given so much to promote this success will be healed and/or comforted.   </w:t>
      </w:r>
    </w:p>
    <w:p w14:paraId="75AA2F8E" w14:textId="4EAF2351" w:rsidR="007F403C" w:rsidRPr="00F62999" w:rsidRDefault="00462D70" w:rsidP="004D246C">
      <w:pPr>
        <w:bidi w:val="0"/>
        <w:spacing w:line="276" w:lineRule="auto"/>
        <w:ind w:firstLine="426"/>
      </w:pPr>
      <w:r>
        <w:rPr>
          <w:noProof/>
        </w:rPr>
        <w:drawing>
          <wp:anchor distT="0" distB="0" distL="114300" distR="114300" simplePos="0" relativeHeight="251667968" behindDoc="1" locked="0" layoutInCell="1" allowOverlap="1" wp14:anchorId="30CD6C17" wp14:editId="5A8EC9E0">
            <wp:simplePos x="0" y="0"/>
            <wp:positionH relativeFrom="page">
              <wp:posOffset>7620</wp:posOffset>
            </wp:positionH>
            <wp:positionV relativeFrom="paragraph">
              <wp:posOffset>5715</wp:posOffset>
            </wp:positionV>
            <wp:extent cx="7536180" cy="324612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536180" cy="3246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20A63">
        <w:trPr>
          <w:trHeight w:val="409"/>
        </w:trPr>
        <w:tc>
          <w:tcPr>
            <w:tcW w:w="4132" w:type="dxa"/>
            <w:gridSpan w:val="3"/>
            <w:tcBorders>
              <w:top w:val="single" w:sz="4" w:space="0" w:color="auto"/>
              <w:bottom w:val="single" w:sz="4" w:space="0" w:color="auto"/>
            </w:tcBorders>
            <w:vAlign w:val="center"/>
          </w:tcPr>
          <w:p w14:paraId="69EF897F" w14:textId="17D20EC1" w:rsidR="004D246C" w:rsidRDefault="004D246C" w:rsidP="00D01D94">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0FDE569D" w14:textId="73841266" w:rsidR="00D01D94" w:rsidRPr="004D246C" w:rsidRDefault="004D246C" w:rsidP="00D01D94">
            <w:pPr>
              <w:bidi w:val="0"/>
              <w:jc w:val="center"/>
              <w:rPr>
                <w:sz w:val="18"/>
                <w:szCs w:val="18"/>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260" w:type="dxa"/>
            <w:gridSpan w:val="8"/>
            <w:tcBorders>
              <w:top w:val="single" w:sz="4" w:space="0" w:color="auto"/>
              <w:bottom w:val="single" w:sz="4" w:space="0" w:color="auto"/>
            </w:tcBorders>
            <w:vAlign w:val="center"/>
          </w:tcPr>
          <w:p w14:paraId="4B6F74A6" w14:textId="5AF7249C" w:rsidR="00650CBD" w:rsidRPr="00650CBD" w:rsidRDefault="00650CBD" w:rsidP="00420A63">
            <w:pPr>
              <w:bidi w:val="0"/>
              <w:jc w:val="center"/>
              <w:rPr>
                <w:sz w:val="16"/>
                <w:szCs w:val="16"/>
              </w:rPr>
            </w:pPr>
            <w:r w:rsidRPr="00650CBD">
              <w:rPr>
                <w:sz w:val="16"/>
                <w:szCs w:val="16"/>
              </w:rPr>
              <w:t xml:space="preserve">Rav </w:t>
            </w:r>
            <w:r w:rsidRPr="00650CBD">
              <w:rPr>
                <w:b/>
                <w:bCs/>
                <w:sz w:val="16"/>
                <w:szCs w:val="16"/>
              </w:rPr>
              <w:t xml:space="preserve">Moshe </w:t>
            </w:r>
            <w:proofErr w:type="spellStart"/>
            <w:r w:rsidRPr="00650CBD">
              <w:rPr>
                <w:b/>
                <w:bCs/>
                <w:sz w:val="16"/>
                <w:szCs w:val="16"/>
              </w:rPr>
              <w:t>Zvi</w:t>
            </w:r>
            <w:proofErr w:type="spellEnd"/>
            <w:r w:rsidRPr="00650CBD">
              <w:rPr>
                <w:b/>
                <w:bCs/>
                <w:sz w:val="16"/>
                <w:szCs w:val="16"/>
              </w:rPr>
              <w:t xml:space="preserve"> (Milton) </w:t>
            </w:r>
            <w:proofErr w:type="spellStart"/>
            <w:r w:rsidRPr="00650CBD">
              <w:rPr>
                <w:b/>
                <w:bCs/>
                <w:sz w:val="16"/>
                <w:szCs w:val="16"/>
              </w:rPr>
              <w:t>Polin</w:t>
            </w:r>
            <w:proofErr w:type="spellEnd"/>
            <w:r w:rsidRPr="00650CBD">
              <w:rPr>
                <w:sz w:val="16"/>
                <w:szCs w:val="16"/>
              </w:rPr>
              <w:t xml:space="preserve"> </w:t>
            </w:r>
            <w:proofErr w:type="spellStart"/>
            <w:r w:rsidRPr="00650CBD">
              <w:rPr>
                <w:sz w:val="16"/>
                <w:szCs w:val="16"/>
              </w:rPr>
              <w:t>z"l</w:t>
            </w:r>
            <w:proofErr w:type="spellEnd"/>
          </w:p>
          <w:p w14:paraId="1B3D3F0D" w14:textId="22FE5916" w:rsidR="007F403C" w:rsidRPr="00EE1B83" w:rsidRDefault="00650CBD" w:rsidP="00420A63">
            <w:pPr>
              <w:bidi w:val="0"/>
              <w:jc w:val="center"/>
              <w:rPr>
                <w:sz w:val="16"/>
                <w:szCs w:val="16"/>
                <w:rtl/>
              </w:rPr>
            </w:pPr>
            <w:r w:rsidRPr="00650CBD">
              <w:rPr>
                <w:sz w:val="16"/>
                <w:szCs w:val="16"/>
              </w:rPr>
              <w:t>Tammuz 19, 5778</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D01D94">
            <w:pPr>
              <w:tabs>
                <w:tab w:val="left" w:pos="743"/>
              </w:tabs>
              <w:bidi w:val="0"/>
              <w:ind w:left="284" w:right="34"/>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bookmarkEnd w:id="1"/>
    </w:tbl>
    <w:p w14:paraId="1B7D23EB" w14:textId="3690CCBF" w:rsidR="007F403C" w:rsidRDefault="007F403C" w:rsidP="00460E48">
      <w:pPr>
        <w:bidi w:val="0"/>
        <w:ind w:firstLine="426"/>
        <w:jc w:val="center"/>
      </w:pPr>
    </w:p>
    <w:p w14:paraId="7DE3D15E" w14:textId="77777777" w:rsidR="00D01D94" w:rsidRPr="00420A63" w:rsidRDefault="00D01D94" w:rsidP="00D01D94">
      <w:pPr>
        <w:pStyle w:val="NormalWeb"/>
        <w:spacing w:before="0" w:beforeAutospacing="0" w:after="0" w:afterAutospacing="0"/>
        <w:ind w:left="540" w:right="360"/>
        <w:jc w:val="center"/>
        <w:rPr>
          <w:b/>
          <w:bCs/>
          <w:sz w:val="12"/>
          <w:szCs w:val="12"/>
        </w:rPr>
      </w:pPr>
    </w:p>
    <w:p w14:paraId="43C9D94E" w14:textId="1BB257AB" w:rsidR="00235976" w:rsidRDefault="000C4125" w:rsidP="00235976">
      <w:pPr>
        <w:pStyle w:val="NormalWeb"/>
        <w:spacing w:before="0" w:beforeAutospacing="0" w:after="0" w:afterAutospacing="0"/>
        <w:jc w:val="center"/>
        <w:rPr>
          <w:sz w:val="16"/>
          <w:szCs w:val="16"/>
        </w:rPr>
      </w:pPr>
      <w:r w:rsidRPr="000C4125">
        <w:rPr>
          <w:rFonts w:asciiTheme="minorBidi" w:hAnsiTheme="minorBidi" w:cstheme="minorBidi"/>
          <w:sz w:val="16"/>
          <w:szCs w:val="16"/>
        </w:rPr>
        <w:t>R'</w:t>
      </w:r>
      <w:r w:rsidRPr="000C4125">
        <w:rPr>
          <w:rFonts w:asciiTheme="minorBidi" w:hAnsiTheme="minorBidi" w:cstheme="minorBidi"/>
          <w:b/>
          <w:bCs/>
          <w:sz w:val="16"/>
          <w:szCs w:val="16"/>
        </w:rPr>
        <w:t xml:space="preserve"> Yitzchak </w:t>
      </w:r>
      <w:proofErr w:type="spellStart"/>
      <w:r w:rsidRPr="000C4125">
        <w:rPr>
          <w:rFonts w:asciiTheme="minorBidi" w:hAnsiTheme="minorBidi" w:cstheme="minorBidi"/>
          <w:b/>
          <w:bCs/>
          <w:sz w:val="16"/>
          <w:szCs w:val="16"/>
        </w:rPr>
        <w:t>Eizik</w:t>
      </w:r>
      <w:proofErr w:type="spellEnd"/>
      <w:r w:rsidRPr="000C4125">
        <w:rPr>
          <w:rFonts w:asciiTheme="minorBidi" w:hAnsiTheme="minorBidi" w:cstheme="minorBidi"/>
          <w:b/>
          <w:bCs/>
          <w:sz w:val="16"/>
          <w:szCs w:val="16"/>
        </w:rPr>
        <w:t xml:space="preserve"> </w:t>
      </w:r>
      <w:proofErr w:type="spellStart"/>
      <w:r w:rsidRPr="000C4125">
        <w:rPr>
          <w:rFonts w:asciiTheme="minorBidi" w:hAnsiTheme="minorBidi" w:cstheme="minorBidi"/>
          <w:b/>
          <w:bCs/>
          <w:sz w:val="16"/>
          <w:szCs w:val="16"/>
        </w:rPr>
        <w:t>Usdan</w:t>
      </w:r>
      <w:proofErr w:type="spellEnd"/>
      <w:r w:rsidRPr="000C4125">
        <w:rPr>
          <w:rFonts w:asciiTheme="minorBidi" w:hAnsiTheme="minorBidi" w:cstheme="minorBidi"/>
          <w:b/>
          <w:bCs/>
          <w:sz w:val="16"/>
          <w:szCs w:val="16"/>
        </w:rPr>
        <w:t xml:space="preserve"> </w:t>
      </w:r>
      <w:proofErr w:type="spellStart"/>
      <w:r w:rsidRPr="000C4125">
        <w:rPr>
          <w:rFonts w:asciiTheme="minorBidi" w:hAnsiTheme="minorBidi" w:cstheme="minorBidi"/>
          <w:b/>
          <w:bCs/>
          <w:sz w:val="16"/>
          <w:szCs w:val="16"/>
        </w:rPr>
        <w:t>z"l</w:t>
      </w:r>
      <w:proofErr w:type="spellEnd"/>
      <w:r w:rsidRPr="000C4125">
        <w:rPr>
          <w:rFonts w:asciiTheme="minorBidi" w:hAnsiTheme="minorBidi" w:cstheme="minorBidi"/>
          <w:sz w:val="16"/>
          <w:szCs w:val="16"/>
        </w:rPr>
        <w:t xml:space="preserve"> ben</w:t>
      </w:r>
      <w:r w:rsidRPr="000C4125">
        <w:rPr>
          <w:rFonts w:asciiTheme="minorBidi" w:hAnsiTheme="minorBidi" w:cstheme="minorBidi"/>
          <w:b/>
          <w:bCs/>
          <w:sz w:val="16"/>
          <w:szCs w:val="16"/>
        </w:rPr>
        <w:t xml:space="preserve"> </w:t>
      </w:r>
      <w:r w:rsidRPr="000C4125">
        <w:rPr>
          <w:rFonts w:asciiTheme="minorBidi" w:hAnsiTheme="minorBidi" w:cstheme="minorBidi"/>
          <w:sz w:val="16"/>
          <w:szCs w:val="16"/>
        </w:rPr>
        <w:t xml:space="preserve">Yehuda </w:t>
      </w:r>
      <w:proofErr w:type="spellStart"/>
      <w:r w:rsidRPr="000C4125">
        <w:rPr>
          <w:rFonts w:asciiTheme="minorBidi" w:hAnsiTheme="minorBidi" w:cstheme="minorBidi"/>
          <w:sz w:val="16"/>
          <w:szCs w:val="16"/>
        </w:rPr>
        <w:t>Leib</w:t>
      </w:r>
      <w:proofErr w:type="spellEnd"/>
      <w:r w:rsidRPr="000C4125">
        <w:rPr>
          <w:rFonts w:asciiTheme="minorBidi" w:hAnsiTheme="minorBidi" w:cstheme="minorBidi"/>
          <w:b/>
          <w:bCs/>
          <w:sz w:val="16"/>
          <w:szCs w:val="16"/>
        </w:rPr>
        <w:t xml:space="preserve"> </w:t>
      </w:r>
      <w:r w:rsidRPr="000C4125">
        <w:rPr>
          <w:rFonts w:asciiTheme="minorBidi" w:hAnsiTheme="minorBidi" w:cstheme="minorBidi"/>
          <w:sz w:val="16"/>
          <w:szCs w:val="16"/>
        </w:rPr>
        <w:t>Av 29</w:t>
      </w:r>
      <w:r w:rsidR="00235976">
        <w:rPr>
          <w:rFonts w:asciiTheme="minorBidi" w:hAnsiTheme="minorBidi" w:cstheme="minorBidi"/>
          <w:sz w:val="16"/>
          <w:szCs w:val="16"/>
        </w:rPr>
        <w:t xml:space="preserve">                                                            </w:t>
      </w:r>
      <w:proofErr w:type="spellStart"/>
      <w:r w:rsidR="00235976" w:rsidRPr="00E1671B">
        <w:rPr>
          <w:b/>
          <w:bCs/>
          <w:sz w:val="16"/>
          <w:szCs w:val="16"/>
        </w:rPr>
        <w:t>Gital</w:t>
      </w:r>
      <w:proofErr w:type="spellEnd"/>
      <w:r w:rsidR="00235976" w:rsidRPr="00E1671B">
        <w:rPr>
          <w:b/>
          <w:bCs/>
          <w:sz w:val="16"/>
          <w:szCs w:val="16"/>
        </w:rPr>
        <w:t xml:space="preserve"> Gila </w:t>
      </w:r>
      <w:r w:rsidR="00235976" w:rsidRPr="00E1671B">
        <w:rPr>
          <w:sz w:val="16"/>
          <w:szCs w:val="16"/>
        </w:rPr>
        <w:t>bat</w:t>
      </w:r>
      <w:r w:rsidR="00235976" w:rsidRPr="00E1671B">
        <w:rPr>
          <w:b/>
          <w:bCs/>
          <w:sz w:val="16"/>
          <w:szCs w:val="16"/>
        </w:rPr>
        <w:t xml:space="preserve"> Eliyahu Michael</w:t>
      </w:r>
      <w:r w:rsidR="00235976" w:rsidRPr="00E1671B">
        <w:rPr>
          <w:sz w:val="16"/>
          <w:szCs w:val="16"/>
        </w:rPr>
        <w:t xml:space="preserve"> </w:t>
      </w:r>
      <w:proofErr w:type="spellStart"/>
      <w:r w:rsidR="00235976" w:rsidRPr="00E1671B">
        <w:rPr>
          <w:sz w:val="16"/>
          <w:szCs w:val="16"/>
        </w:rPr>
        <w:t>a”h</w:t>
      </w:r>
      <w:proofErr w:type="spellEnd"/>
      <w:r w:rsidR="00235976" w:rsidRPr="00E1671B">
        <w:rPr>
          <w:sz w:val="16"/>
          <w:szCs w:val="16"/>
        </w:rPr>
        <w:t>, Av 21</w:t>
      </w:r>
    </w:p>
    <w:p w14:paraId="23DA09A6" w14:textId="37A3CB64" w:rsidR="00235976" w:rsidRDefault="00235976" w:rsidP="00235976">
      <w:pPr>
        <w:pStyle w:val="NormalWeb"/>
        <w:spacing w:before="0" w:beforeAutospacing="0" w:after="0" w:afterAutospacing="0"/>
        <w:jc w:val="center"/>
        <w:rPr>
          <w:sz w:val="16"/>
          <w:szCs w:val="16"/>
        </w:rPr>
      </w:pPr>
    </w:p>
    <w:p w14:paraId="21BE8343" w14:textId="77777777" w:rsidR="00235976" w:rsidRPr="00E1671B" w:rsidRDefault="00235976" w:rsidP="00235976">
      <w:pPr>
        <w:pStyle w:val="NormalWeb"/>
        <w:spacing w:before="0" w:beforeAutospacing="0" w:after="0" w:afterAutospacing="0"/>
        <w:jc w:val="center"/>
        <w:rPr>
          <w:sz w:val="16"/>
          <w:szCs w:val="16"/>
        </w:rPr>
      </w:pPr>
    </w:p>
    <w:p w14:paraId="0C7FF56F" w14:textId="31A24FF7" w:rsidR="000C4125" w:rsidRPr="000C4125" w:rsidRDefault="00235976" w:rsidP="00235976">
      <w:pPr>
        <w:bidi w:val="0"/>
        <w:rPr>
          <w:rFonts w:asciiTheme="minorBidi" w:hAnsiTheme="minorBidi" w:cstheme="minorBidi"/>
          <w:sz w:val="16"/>
          <w:szCs w:val="16"/>
        </w:rPr>
      </w:pPr>
      <w:r>
        <w:rPr>
          <w:rFonts w:asciiTheme="minorBidi" w:hAnsiTheme="minorBidi" w:cstheme="minorBidi"/>
          <w:sz w:val="16"/>
          <w:szCs w:val="16"/>
        </w:rPr>
        <w:t xml:space="preserve">                     </w:t>
      </w:r>
    </w:p>
    <w:p w14:paraId="381517D5" w14:textId="1C401668" w:rsidR="00E5518A" w:rsidRPr="00420A63" w:rsidRDefault="00E5518A" w:rsidP="00E5518A">
      <w:pPr>
        <w:bidi w:val="0"/>
        <w:ind w:firstLine="426"/>
        <w:jc w:val="center"/>
        <w:rPr>
          <w:sz w:val="12"/>
          <w:szCs w:val="12"/>
        </w:rPr>
      </w:pPr>
    </w:p>
    <w:p w14:paraId="61A846F5" w14:textId="16E61CC9" w:rsidR="00E5518A" w:rsidRDefault="00E5518A" w:rsidP="00E5518A">
      <w:pPr>
        <w:bidi w:val="0"/>
        <w:ind w:firstLine="426"/>
        <w:jc w:val="center"/>
      </w:pPr>
    </w:p>
    <w:p w14:paraId="36F08EC5" w14:textId="77777777" w:rsidR="00235976" w:rsidRDefault="00235976" w:rsidP="009446A9">
      <w:pPr>
        <w:bidi w:val="0"/>
        <w:ind w:firstLine="426"/>
        <w:jc w:val="center"/>
      </w:pPr>
    </w:p>
    <w:p w14:paraId="6DA7529C" w14:textId="77777777" w:rsidR="00235976" w:rsidRDefault="00235976" w:rsidP="00235976">
      <w:pPr>
        <w:bidi w:val="0"/>
        <w:ind w:firstLine="426"/>
        <w:jc w:val="center"/>
      </w:pPr>
    </w:p>
    <w:p w14:paraId="2B9A249B" w14:textId="77777777" w:rsidR="00235976" w:rsidRDefault="00235976" w:rsidP="00235976">
      <w:pPr>
        <w:bidi w:val="0"/>
        <w:ind w:firstLine="426"/>
        <w:jc w:val="center"/>
      </w:pPr>
    </w:p>
    <w:p w14:paraId="3541BCAE" w14:textId="77777777" w:rsidR="00235976" w:rsidRDefault="00235976" w:rsidP="00235976">
      <w:pPr>
        <w:bidi w:val="0"/>
        <w:ind w:firstLine="426"/>
        <w:jc w:val="center"/>
      </w:pPr>
    </w:p>
    <w:p w14:paraId="397B6767" w14:textId="537B1E2E" w:rsidR="009446A9" w:rsidRDefault="00D01D94" w:rsidP="00235976">
      <w:pPr>
        <w:bidi w:val="0"/>
        <w:ind w:firstLine="426"/>
        <w:jc w:val="center"/>
      </w:pPr>
      <w:r>
        <w:rPr>
          <w:noProof/>
        </w:rPr>
        <w:drawing>
          <wp:anchor distT="0" distB="0" distL="114300" distR="114300" simplePos="0" relativeHeight="251670016" behindDoc="1" locked="1" layoutInCell="1" allowOverlap="1" wp14:anchorId="17FCDC3E" wp14:editId="532BBD62">
            <wp:simplePos x="0" y="0"/>
            <wp:positionH relativeFrom="margin">
              <wp:posOffset>1423035</wp:posOffset>
            </wp:positionH>
            <wp:positionV relativeFrom="margin">
              <wp:posOffset>9043670</wp:posOffset>
            </wp:positionV>
            <wp:extent cx="3924935" cy="69342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935" cy="693420"/>
                    </a:xfrm>
                    <a:prstGeom prst="rect">
                      <a:avLst/>
                    </a:prstGeom>
                    <a:noFill/>
                  </pic:spPr>
                </pic:pic>
              </a:graphicData>
            </a:graphic>
            <wp14:sizeRelH relativeFrom="page">
              <wp14:pctWidth>0</wp14:pctWidth>
            </wp14:sizeRelH>
            <wp14:sizeRelV relativeFrom="page">
              <wp14:pctHeight>0</wp14:pctHeight>
            </wp14:sizeRelV>
          </wp:anchor>
        </w:drawing>
      </w:r>
    </w:p>
    <w:p w14:paraId="3C8400C3" w14:textId="2F1E0EB6" w:rsidR="009446A9" w:rsidRDefault="009446A9" w:rsidP="009446A9">
      <w:pPr>
        <w:bidi w:val="0"/>
        <w:ind w:firstLine="426"/>
        <w:jc w:val="center"/>
      </w:pPr>
    </w:p>
    <w:p w14:paraId="2E1EAC1B" w14:textId="69BD598E" w:rsidR="00E5518A" w:rsidRDefault="00E5518A" w:rsidP="00E5518A">
      <w:pPr>
        <w:bidi w:val="0"/>
        <w:ind w:firstLine="426"/>
        <w:jc w:val="center"/>
      </w:pPr>
    </w:p>
    <w:p w14:paraId="20217CF2" w14:textId="77777777" w:rsidR="00E5518A" w:rsidRDefault="00E5518A" w:rsidP="00E5518A">
      <w:pPr>
        <w:bidi w:val="0"/>
        <w:ind w:firstLine="426"/>
        <w:jc w:val="center"/>
      </w:pPr>
    </w:p>
    <w:p w14:paraId="7C3A29E6" w14:textId="77777777" w:rsidR="00420A63" w:rsidRDefault="00420A63" w:rsidP="00634DFD">
      <w:pPr>
        <w:tabs>
          <w:tab w:val="left" w:pos="1803"/>
        </w:tabs>
        <w:bidi w:val="0"/>
      </w:pPr>
    </w:p>
    <w:p w14:paraId="6C4DFE33" w14:textId="77777777" w:rsidR="00A504CA" w:rsidRDefault="00A504CA" w:rsidP="00420A63">
      <w:pPr>
        <w:tabs>
          <w:tab w:val="left" w:pos="1803"/>
        </w:tabs>
        <w:bidi w:val="0"/>
      </w:pPr>
    </w:p>
    <w:p w14:paraId="652402EB" w14:textId="240CBF60" w:rsidR="00040676" w:rsidRDefault="00582D3E" w:rsidP="00A504CA">
      <w:pPr>
        <w:tabs>
          <w:tab w:val="left" w:pos="1803"/>
        </w:tabs>
        <w:bidi w:val="0"/>
      </w:pPr>
      <w:r>
        <w:rPr>
          <w:noProof/>
        </w:rPr>
        <w:drawing>
          <wp:anchor distT="0" distB="0" distL="114300" distR="114300" simplePos="0" relativeHeight="251663872" behindDoc="0" locked="1" layoutInCell="1" allowOverlap="1" wp14:anchorId="705C63DE" wp14:editId="5BB45F5E">
            <wp:simplePos x="0" y="0"/>
            <wp:positionH relativeFrom="margin">
              <wp:align>left</wp:align>
            </wp:positionH>
            <wp:positionV relativeFrom="paragraph">
              <wp:posOffset>-588645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05674AA6" w14:textId="77777777" w:rsidR="00235976" w:rsidRPr="00E80476" w:rsidRDefault="00235976" w:rsidP="00235976">
      <w:pPr>
        <w:bidi w:val="0"/>
        <w:rPr>
          <w:b/>
          <w:bCs/>
          <w:i/>
          <w:iCs/>
        </w:rPr>
      </w:pPr>
      <w:bookmarkStart w:id="2" w:name="_Hlk233364766"/>
      <w:r>
        <w:rPr>
          <w:b/>
          <w:bCs/>
          <w:i/>
          <w:iCs/>
          <w:color w:val="D85640"/>
          <w:sz w:val="28"/>
          <w:szCs w:val="28"/>
        </w:rPr>
        <w:t>Mezuza</w:t>
      </w:r>
      <w:r>
        <w:rPr>
          <w:b/>
          <w:bCs/>
          <w:color w:val="D85640"/>
          <w:sz w:val="28"/>
          <w:szCs w:val="28"/>
        </w:rPr>
        <w:t xml:space="preserve"> on a </w:t>
      </w:r>
      <w:proofErr w:type="spellStart"/>
      <w:r>
        <w:rPr>
          <w:b/>
          <w:bCs/>
          <w:i/>
          <w:iCs/>
          <w:color w:val="D85640"/>
          <w:sz w:val="28"/>
          <w:szCs w:val="28"/>
        </w:rPr>
        <w:t>Tzimmer</w:t>
      </w:r>
      <w:proofErr w:type="spellEnd"/>
    </w:p>
    <w:p w14:paraId="66A77E3F" w14:textId="77777777" w:rsidR="00235976" w:rsidRPr="002822FD" w:rsidRDefault="00235976" w:rsidP="00235976">
      <w:pPr>
        <w:bidi w:val="0"/>
        <w:rPr>
          <w:b/>
          <w:bCs/>
          <w:color w:val="D85640"/>
        </w:rPr>
      </w:pPr>
    </w:p>
    <w:p w14:paraId="42A31CB7" w14:textId="77777777" w:rsidR="00235976" w:rsidRPr="00F72104" w:rsidRDefault="00235976" w:rsidP="00235976">
      <w:pPr>
        <w:shd w:val="clear" w:color="auto" w:fill="FFFFFF"/>
        <w:bidi w:val="0"/>
        <w:rPr>
          <w:color w:val="222222"/>
        </w:rPr>
      </w:pPr>
      <w:r w:rsidRPr="00235976">
        <w:rPr>
          <w:b/>
          <w:bCs/>
          <w:color w:val="D85640"/>
          <w:sz w:val="24"/>
          <w:szCs w:val="24"/>
          <w:u w:val="single"/>
        </w:rPr>
        <w:t>Question</w:t>
      </w:r>
      <w:r w:rsidRPr="00235976">
        <w:rPr>
          <w:b/>
          <w:bCs/>
          <w:color w:val="D85640"/>
          <w:sz w:val="24"/>
          <w:szCs w:val="24"/>
        </w:rPr>
        <w:t>:</w:t>
      </w:r>
      <w:r w:rsidRPr="00235976">
        <w:rPr>
          <w:sz w:val="24"/>
          <w:szCs w:val="24"/>
        </w:rPr>
        <w:t xml:space="preserve"> </w:t>
      </w:r>
      <w:r>
        <w:t xml:space="preserve">We will soon complete </w:t>
      </w:r>
      <w:r>
        <w:rPr>
          <w:color w:val="222222"/>
          <w:shd w:val="clear" w:color="auto" w:fill="FFFFFF"/>
        </w:rPr>
        <w:t xml:space="preserve">building a </w:t>
      </w:r>
      <w:proofErr w:type="spellStart"/>
      <w:r>
        <w:rPr>
          <w:i/>
          <w:iCs/>
          <w:color w:val="222222"/>
          <w:shd w:val="clear" w:color="auto" w:fill="FFFFFF"/>
        </w:rPr>
        <w:t>tzimmer</w:t>
      </w:r>
      <w:proofErr w:type="spellEnd"/>
      <w:r>
        <w:rPr>
          <w:i/>
          <w:iCs/>
          <w:color w:val="222222"/>
          <w:shd w:val="clear" w:color="auto" w:fill="FFFFFF"/>
        </w:rPr>
        <w:t xml:space="preserve"> </w:t>
      </w:r>
      <w:r>
        <w:rPr>
          <w:color w:val="222222"/>
          <w:shd w:val="clear" w:color="auto" w:fill="FFFFFF"/>
        </w:rPr>
        <w:t xml:space="preserve">(vacation cabin) attached to my house (separate entrance). I will definitely put </w:t>
      </w:r>
      <w:proofErr w:type="spellStart"/>
      <w:r>
        <w:rPr>
          <w:i/>
          <w:iCs/>
          <w:color w:val="222222"/>
          <w:shd w:val="clear" w:color="auto" w:fill="FFFFFF"/>
        </w:rPr>
        <w:t>mezuzot</w:t>
      </w:r>
      <w:proofErr w:type="spellEnd"/>
      <w:r>
        <w:rPr>
          <w:color w:val="222222"/>
          <w:shd w:val="clear" w:color="auto" w:fill="FFFFFF"/>
        </w:rPr>
        <w:t xml:space="preserve"> up, even if just for the “feel” or protection, but am I really obligated, since I do not live there? I guess that will determine whether I make a </w:t>
      </w:r>
      <w:proofErr w:type="spellStart"/>
      <w:r>
        <w:rPr>
          <w:i/>
          <w:iCs/>
          <w:color w:val="222222"/>
          <w:shd w:val="clear" w:color="auto" w:fill="FFFFFF"/>
        </w:rPr>
        <w:t>beracha</w:t>
      </w:r>
      <w:proofErr w:type="spellEnd"/>
      <w:r>
        <w:rPr>
          <w:color w:val="222222"/>
          <w:shd w:val="clear" w:color="auto" w:fill="FFFFFF"/>
        </w:rPr>
        <w:t xml:space="preserve"> or not.</w:t>
      </w:r>
      <w:bookmarkEnd w:id="2"/>
      <w:r>
        <w:rPr>
          <w:color w:val="222222"/>
          <w:shd w:val="clear" w:color="auto" w:fill="FFFFFF"/>
        </w:rPr>
        <w:t xml:space="preserve"> </w:t>
      </w:r>
    </w:p>
    <w:p w14:paraId="06916C8E" w14:textId="77777777" w:rsidR="00235976" w:rsidRPr="002C1B93" w:rsidRDefault="00235976" w:rsidP="00235976">
      <w:pPr>
        <w:bidi w:val="0"/>
      </w:pPr>
    </w:p>
    <w:p w14:paraId="13FE2F6C" w14:textId="77777777" w:rsidR="00235976" w:rsidRDefault="00235976" w:rsidP="00235976">
      <w:pPr>
        <w:bidi w:val="0"/>
        <w:ind w:right="26"/>
      </w:pPr>
      <w:r w:rsidRPr="00235976">
        <w:rPr>
          <w:b/>
          <w:bCs/>
          <w:color w:val="D85640"/>
          <w:sz w:val="24"/>
          <w:szCs w:val="24"/>
          <w:u w:val="single"/>
        </w:rPr>
        <w:t>Answer</w:t>
      </w:r>
      <w:r w:rsidRPr="00235976">
        <w:rPr>
          <w:b/>
          <w:bCs/>
          <w:color w:val="D85640"/>
          <w:sz w:val="24"/>
          <w:szCs w:val="24"/>
        </w:rPr>
        <w:t>:</w:t>
      </w:r>
      <w:r w:rsidRPr="00235976">
        <w:rPr>
          <w:sz w:val="24"/>
          <w:szCs w:val="24"/>
        </w:rPr>
        <w:t xml:space="preserve"> </w:t>
      </w:r>
      <w:r>
        <w:t xml:space="preserve">The </w:t>
      </w:r>
      <w:proofErr w:type="spellStart"/>
      <w:r>
        <w:rPr>
          <w:i/>
          <w:iCs/>
        </w:rPr>
        <w:t>gemara</w:t>
      </w:r>
      <w:proofErr w:type="spellEnd"/>
      <w:r>
        <w:t xml:space="preserve"> (</w:t>
      </w:r>
      <w:proofErr w:type="spellStart"/>
      <w:r>
        <w:t>Bava</w:t>
      </w:r>
      <w:proofErr w:type="spellEnd"/>
      <w:r>
        <w:t xml:space="preserve"> </w:t>
      </w:r>
      <w:proofErr w:type="spellStart"/>
      <w:r>
        <w:t>Metzia</w:t>
      </w:r>
      <w:proofErr w:type="spellEnd"/>
      <w:r>
        <w:t xml:space="preserve"> 101b) does say that the obligation of putting up </w:t>
      </w:r>
      <w:proofErr w:type="spellStart"/>
      <w:r>
        <w:rPr>
          <w:i/>
          <w:iCs/>
        </w:rPr>
        <w:t>mezuzot</w:t>
      </w:r>
      <w:proofErr w:type="spellEnd"/>
      <w:r>
        <w:t xml:space="preserve"> on rental property is on the renter, implying not on the landlord (see also </w:t>
      </w:r>
      <w:proofErr w:type="spellStart"/>
      <w:r>
        <w:t>Avoda</w:t>
      </w:r>
      <w:proofErr w:type="spellEnd"/>
      <w:r>
        <w:t xml:space="preserve"> Zara 21a). While this is practical for a lengthy rental, a </w:t>
      </w:r>
      <w:proofErr w:type="spellStart"/>
      <w:r>
        <w:rPr>
          <w:i/>
          <w:iCs/>
        </w:rPr>
        <w:t>tzimmer</w:t>
      </w:r>
      <w:proofErr w:type="spellEnd"/>
      <w:r>
        <w:rPr>
          <w:i/>
          <w:iCs/>
        </w:rPr>
        <w:t xml:space="preserve"> </w:t>
      </w:r>
      <w:r>
        <w:t xml:space="preserve">owner could not expect that vacationers will bring </w:t>
      </w:r>
      <w:proofErr w:type="spellStart"/>
      <w:r>
        <w:rPr>
          <w:i/>
          <w:iCs/>
        </w:rPr>
        <w:t>mezuzot</w:t>
      </w:r>
      <w:proofErr w:type="spellEnd"/>
      <w:r>
        <w:rPr>
          <w:i/>
          <w:iCs/>
        </w:rPr>
        <w:t xml:space="preserve"> </w:t>
      </w:r>
      <w:r>
        <w:t xml:space="preserve">with them. Actually, though, the vacationers do not need them.  True, in </w:t>
      </w:r>
      <w:r>
        <w:rPr>
          <w:i/>
          <w:iCs/>
        </w:rPr>
        <w:t>Eretz Yisrael</w:t>
      </w:r>
      <w:r>
        <w:t xml:space="preserve">, a renter is required to affix </w:t>
      </w:r>
      <w:proofErr w:type="spellStart"/>
      <w:r>
        <w:rPr>
          <w:i/>
          <w:iCs/>
        </w:rPr>
        <w:t>mezuzot</w:t>
      </w:r>
      <w:proofErr w:type="spellEnd"/>
      <w:r>
        <w:t xml:space="preserve"> right away, as opposed to in </w:t>
      </w:r>
      <w:proofErr w:type="spellStart"/>
      <w:r>
        <w:rPr>
          <w:i/>
          <w:iCs/>
        </w:rPr>
        <w:t>chutz</w:t>
      </w:r>
      <w:proofErr w:type="spellEnd"/>
      <w:r>
        <w:rPr>
          <w:i/>
          <w:iCs/>
        </w:rPr>
        <w:t xml:space="preserve"> </w:t>
      </w:r>
      <w:proofErr w:type="spellStart"/>
      <w:r>
        <w:rPr>
          <w:i/>
          <w:iCs/>
        </w:rPr>
        <w:t>la’aretz</w:t>
      </w:r>
      <w:proofErr w:type="spellEnd"/>
      <w:r>
        <w:t>, where there is a 30-day “grace” period (</w:t>
      </w:r>
      <w:proofErr w:type="spellStart"/>
      <w:r>
        <w:t>Menachot</w:t>
      </w:r>
      <w:proofErr w:type="spellEnd"/>
      <w:r>
        <w:t xml:space="preserve"> 44a; Shulchan </w:t>
      </w:r>
      <w:proofErr w:type="spellStart"/>
      <w:r>
        <w:t>Aruch</w:t>
      </w:r>
      <w:proofErr w:type="spellEnd"/>
      <w:r>
        <w:t xml:space="preserve">, </w:t>
      </w:r>
      <w:proofErr w:type="spellStart"/>
      <w:r>
        <w:t>Yoreh</w:t>
      </w:r>
      <w:proofErr w:type="spellEnd"/>
      <w:r>
        <w:t xml:space="preserve"> </w:t>
      </w:r>
      <w:proofErr w:type="spellStart"/>
      <w:r>
        <w:t>Deah</w:t>
      </w:r>
      <w:proofErr w:type="spellEnd"/>
      <w:r>
        <w:t xml:space="preserve"> 286:22). However, even in </w:t>
      </w:r>
      <w:r>
        <w:rPr>
          <w:i/>
          <w:iCs/>
        </w:rPr>
        <w:t>Eretz Yisrael</w:t>
      </w:r>
      <w:r>
        <w:t xml:space="preserve">, one who stays in a </w:t>
      </w:r>
      <w:proofErr w:type="spellStart"/>
      <w:r>
        <w:rPr>
          <w:i/>
          <w:iCs/>
        </w:rPr>
        <w:t>pundak</w:t>
      </w:r>
      <w:proofErr w:type="spellEnd"/>
      <w:r>
        <w:t xml:space="preserve"> (an inn for travelers – </w:t>
      </w:r>
      <w:proofErr w:type="spellStart"/>
      <w:r>
        <w:t>Rashi</w:t>
      </w:r>
      <w:proofErr w:type="spellEnd"/>
      <w:r>
        <w:t xml:space="preserve"> ad loc.) is exempt from </w:t>
      </w:r>
      <w:r>
        <w:rPr>
          <w:i/>
          <w:iCs/>
        </w:rPr>
        <w:t>mezuza</w:t>
      </w:r>
      <w:r>
        <w:t xml:space="preserve"> (ibid.). This applies to hotels and </w:t>
      </w:r>
      <w:proofErr w:type="spellStart"/>
      <w:r>
        <w:rPr>
          <w:i/>
          <w:iCs/>
        </w:rPr>
        <w:t>tzimmers</w:t>
      </w:r>
      <w:proofErr w:type="spellEnd"/>
      <w:r>
        <w:t xml:space="preserve"> as well (</w:t>
      </w:r>
      <w:proofErr w:type="spellStart"/>
      <w:r>
        <w:t>Chovat</w:t>
      </w:r>
      <w:proofErr w:type="spellEnd"/>
      <w:r>
        <w:t xml:space="preserve"> </w:t>
      </w:r>
      <w:proofErr w:type="spellStart"/>
      <w:r>
        <w:t>Hadar</w:t>
      </w:r>
      <w:proofErr w:type="spellEnd"/>
      <w:r>
        <w:t xml:space="preserve"> 3:5), </w:t>
      </w:r>
      <w:r w:rsidRPr="00DF2274">
        <w:rPr>
          <w:b/>
          <w:bCs/>
        </w:rPr>
        <w:t>at least</w:t>
      </w:r>
      <w:r>
        <w:t xml:space="preserve"> for 30 days (see </w:t>
      </w:r>
      <w:proofErr w:type="spellStart"/>
      <w:r>
        <w:t>S’dei</w:t>
      </w:r>
      <w:proofErr w:type="spellEnd"/>
      <w:r>
        <w:t xml:space="preserve"> Chemed vol. V, p. 63; </w:t>
      </w:r>
      <w:proofErr w:type="spellStart"/>
      <w:r>
        <w:t>Mishneh</w:t>
      </w:r>
      <w:proofErr w:type="spellEnd"/>
      <w:r>
        <w:t xml:space="preserve"> </w:t>
      </w:r>
      <w:proofErr w:type="spellStart"/>
      <w:r>
        <w:t>Halachot</w:t>
      </w:r>
      <w:proofErr w:type="spellEnd"/>
      <w:r>
        <w:t xml:space="preserve"> IV:134). </w:t>
      </w:r>
    </w:p>
    <w:p w14:paraId="196DFFAE" w14:textId="77777777" w:rsidR="00235976" w:rsidRDefault="00235976" w:rsidP="00235976">
      <w:pPr>
        <w:bidi w:val="0"/>
        <w:ind w:right="26" w:firstLine="450"/>
      </w:pPr>
      <w:r>
        <w:t xml:space="preserve">Then, the question becomes – if your guests are exempt, does that mean you are obligated? This depends on the rationale of the </w:t>
      </w:r>
      <w:proofErr w:type="spellStart"/>
      <w:r>
        <w:rPr>
          <w:i/>
          <w:iCs/>
        </w:rPr>
        <w:t>gemara</w:t>
      </w:r>
      <w:proofErr w:type="spellEnd"/>
      <w:r>
        <w:t xml:space="preserve"> (</w:t>
      </w:r>
      <w:proofErr w:type="spellStart"/>
      <w:r>
        <w:t>Bava</w:t>
      </w:r>
      <w:proofErr w:type="spellEnd"/>
      <w:r>
        <w:t xml:space="preserve"> </w:t>
      </w:r>
      <w:proofErr w:type="spellStart"/>
      <w:r>
        <w:t>Metzia</w:t>
      </w:r>
      <w:proofErr w:type="spellEnd"/>
      <w:r>
        <w:t xml:space="preserve"> 101a) that </w:t>
      </w:r>
      <w:r>
        <w:rPr>
          <w:i/>
          <w:iCs/>
        </w:rPr>
        <w:t xml:space="preserve">mezuza </w:t>
      </w:r>
      <w:r>
        <w:t xml:space="preserve">is the obligation of the </w:t>
      </w:r>
      <w:proofErr w:type="spellStart"/>
      <w:r>
        <w:rPr>
          <w:i/>
          <w:iCs/>
        </w:rPr>
        <w:t>dar</w:t>
      </w:r>
      <w:proofErr w:type="spellEnd"/>
      <w:r>
        <w:rPr>
          <w:i/>
          <w:iCs/>
        </w:rPr>
        <w:t xml:space="preserve"> </w:t>
      </w:r>
      <w:r>
        <w:t xml:space="preserve">(the renter who is living there). Some posit that if one owns a house but does not live in it (i.e., the landlord) he is fundamentally exempt from </w:t>
      </w:r>
      <w:r>
        <w:rPr>
          <w:i/>
          <w:iCs/>
        </w:rPr>
        <w:t>mezuza</w:t>
      </w:r>
      <w:r>
        <w:t xml:space="preserve"> (</w:t>
      </w:r>
      <w:proofErr w:type="spellStart"/>
      <w:r>
        <w:rPr>
          <w:rFonts w:hint="cs"/>
        </w:rPr>
        <w:t>T</w:t>
      </w:r>
      <w:r>
        <w:t>osafot</w:t>
      </w:r>
      <w:proofErr w:type="spellEnd"/>
      <w:r>
        <w:t xml:space="preserve">, </w:t>
      </w:r>
      <w:proofErr w:type="spellStart"/>
      <w:r>
        <w:t>Avoda</w:t>
      </w:r>
      <w:proofErr w:type="spellEnd"/>
      <w:r>
        <w:t xml:space="preserve"> Zara 21a). If so, if you never use the </w:t>
      </w:r>
      <w:proofErr w:type="spellStart"/>
      <w:r>
        <w:rPr>
          <w:i/>
          <w:iCs/>
        </w:rPr>
        <w:t>tzimmer</w:t>
      </w:r>
      <w:proofErr w:type="spellEnd"/>
      <w:r>
        <w:rPr>
          <w:i/>
          <w:iCs/>
        </w:rPr>
        <w:t xml:space="preserve"> </w:t>
      </w:r>
      <w:r>
        <w:t xml:space="preserve">as part of your “living quarters,” you should not be obligated. On the other hand, Rav </w:t>
      </w:r>
      <w:proofErr w:type="spellStart"/>
      <w:r>
        <w:t>Yehonatan</w:t>
      </w:r>
      <w:proofErr w:type="spellEnd"/>
      <w:r>
        <w:t xml:space="preserve"> (cited in </w:t>
      </w:r>
      <w:proofErr w:type="spellStart"/>
      <w:r>
        <w:t>Shita</w:t>
      </w:r>
      <w:proofErr w:type="spellEnd"/>
      <w:r>
        <w:t xml:space="preserve"> </w:t>
      </w:r>
      <w:proofErr w:type="spellStart"/>
      <w:r>
        <w:t>Mekubetzet</w:t>
      </w:r>
      <w:proofErr w:type="spellEnd"/>
      <w:r>
        <w:t xml:space="preserve">, </w:t>
      </w:r>
      <w:proofErr w:type="spellStart"/>
      <w:r>
        <w:t>Bava</w:t>
      </w:r>
      <w:proofErr w:type="spellEnd"/>
      <w:r>
        <w:t xml:space="preserve"> </w:t>
      </w:r>
      <w:proofErr w:type="spellStart"/>
      <w:r>
        <w:t>Metzia</w:t>
      </w:r>
      <w:proofErr w:type="spellEnd"/>
      <w:r>
        <w:t xml:space="preserve"> 101b) posits that according to Torah law, the landlord is obligated in </w:t>
      </w:r>
      <w:r>
        <w:rPr>
          <w:i/>
          <w:iCs/>
        </w:rPr>
        <w:t>mezuza</w:t>
      </w:r>
      <w:r>
        <w:t xml:space="preserve">, but they obligated the renter because he is the one who benefits from the </w:t>
      </w:r>
      <w:r>
        <w:rPr>
          <w:i/>
          <w:iCs/>
        </w:rPr>
        <w:t>mezuza</w:t>
      </w:r>
      <w:r>
        <w:t xml:space="preserve">’s protection. According to this latter approach, if the guests are not obligated during their insufficiently significant stint, the owner would be obligated. </w:t>
      </w:r>
    </w:p>
    <w:p w14:paraId="2BF66797" w14:textId="77777777" w:rsidR="00235976" w:rsidRPr="00761CCA" w:rsidRDefault="00235976" w:rsidP="00235976">
      <w:pPr>
        <w:bidi w:val="0"/>
        <w:ind w:right="26" w:firstLine="450"/>
      </w:pPr>
      <w:r>
        <w:t xml:space="preserve">Even if a permanent landlord is not obligated on any level in attaching </w:t>
      </w:r>
      <w:proofErr w:type="spellStart"/>
      <w:r>
        <w:rPr>
          <w:i/>
          <w:iCs/>
        </w:rPr>
        <w:t>mezuzot</w:t>
      </w:r>
      <w:proofErr w:type="spellEnd"/>
      <w:r>
        <w:t xml:space="preserve">, you might be obligated. One possibility is that the fact that you are dealing with the </w:t>
      </w:r>
      <w:proofErr w:type="spellStart"/>
      <w:r>
        <w:rPr>
          <w:i/>
          <w:iCs/>
        </w:rPr>
        <w:t>tzimmer</w:t>
      </w:r>
      <w:proofErr w:type="spellEnd"/>
      <w:r>
        <w:t xml:space="preserve"> commercially, to make money, on an ongoing basis rather than on a one-time basis, makes it considered a use of the money maker (see </w:t>
      </w:r>
      <w:proofErr w:type="spellStart"/>
      <w:r>
        <w:t>Torat</w:t>
      </w:r>
      <w:proofErr w:type="spellEnd"/>
      <w:r>
        <w:t xml:space="preserve"> </w:t>
      </w:r>
      <w:proofErr w:type="spellStart"/>
      <w:r>
        <w:t>Hamezuzah</w:t>
      </w:r>
      <w:proofErr w:type="spellEnd"/>
      <w:r>
        <w:t xml:space="preserve"> p. 104). This is enhanced if, as proprietor, you often have to go in and take care of the </w:t>
      </w:r>
      <w:proofErr w:type="spellStart"/>
      <w:r>
        <w:rPr>
          <w:i/>
          <w:iCs/>
        </w:rPr>
        <w:t>tzimmer</w:t>
      </w:r>
      <w:proofErr w:type="spellEnd"/>
      <w:r>
        <w:t xml:space="preserve"> (see </w:t>
      </w:r>
      <w:proofErr w:type="spellStart"/>
      <w:r>
        <w:t>Igrot</w:t>
      </w:r>
      <w:proofErr w:type="spellEnd"/>
      <w:r>
        <w:t xml:space="preserve"> Moshe, </w:t>
      </w:r>
      <w:proofErr w:type="spellStart"/>
      <w:r>
        <w:t>Yoreh</w:t>
      </w:r>
      <w:proofErr w:type="spellEnd"/>
      <w:r>
        <w:t xml:space="preserve"> </w:t>
      </w:r>
      <w:proofErr w:type="spellStart"/>
      <w:r>
        <w:t>Deah</w:t>
      </w:r>
      <w:proofErr w:type="spellEnd"/>
      <w:r>
        <w:t xml:space="preserve"> II, 141). Also, the </w:t>
      </w:r>
      <w:proofErr w:type="spellStart"/>
      <w:r>
        <w:t>Shevet</w:t>
      </w:r>
      <w:proofErr w:type="spellEnd"/>
      <w:r>
        <w:t xml:space="preserve"> Halevi (II:156) says that even if hospital patients do not require a </w:t>
      </w:r>
      <w:r>
        <w:rPr>
          <w:i/>
          <w:iCs/>
        </w:rPr>
        <w:t>mezuza</w:t>
      </w:r>
      <w:r>
        <w:t xml:space="preserve"> on their room (due to the nature of the stay), a Jewish hospital would require </w:t>
      </w:r>
      <w:proofErr w:type="spellStart"/>
      <w:r>
        <w:rPr>
          <w:i/>
          <w:iCs/>
        </w:rPr>
        <w:t>mezuzot</w:t>
      </w:r>
      <w:proofErr w:type="spellEnd"/>
      <w:r>
        <w:rPr>
          <w:i/>
          <w:iCs/>
        </w:rPr>
        <w:t xml:space="preserve"> </w:t>
      </w:r>
      <w:r>
        <w:t xml:space="preserve">on all its doors. This is not only because the Jewish staff frequent the rooms, but also because of the Jewish ownership. (He does not discuss whether they are affixed with </w:t>
      </w:r>
      <w:proofErr w:type="gramStart"/>
      <w:r>
        <w:t xml:space="preserve">a  </w:t>
      </w:r>
      <w:proofErr w:type="spellStart"/>
      <w:r>
        <w:rPr>
          <w:i/>
          <w:iCs/>
        </w:rPr>
        <w:t>beracha</w:t>
      </w:r>
      <w:proofErr w:type="spellEnd"/>
      <w:proofErr w:type="gramEnd"/>
      <w:r>
        <w:t>.)</w:t>
      </w:r>
    </w:p>
    <w:p w14:paraId="26F0DA3B" w14:textId="77777777" w:rsidR="00235976" w:rsidRDefault="00235976" w:rsidP="00235976">
      <w:pPr>
        <w:bidi w:val="0"/>
        <w:ind w:right="26" w:firstLine="450"/>
      </w:pPr>
      <w:r>
        <w:t xml:space="preserve">The approach that the owner does not need to live there like a home depends on the question of </w:t>
      </w:r>
      <w:proofErr w:type="spellStart"/>
      <w:r>
        <w:rPr>
          <w:i/>
          <w:iCs/>
        </w:rPr>
        <w:t>mezuzot</w:t>
      </w:r>
      <w:proofErr w:type="spellEnd"/>
      <w:r>
        <w:rPr>
          <w:i/>
          <w:iCs/>
        </w:rPr>
        <w:t xml:space="preserve"> </w:t>
      </w:r>
      <w:r>
        <w:t xml:space="preserve">for the workplace (which we discussed in Living the Halachic Process, </w:t>
      </w:r>
      <w:proofErr w:type="gramStart"/>
      <w:r>
        <w:t>I:G</w:t>
      </w:r>
      <w:proofErr w:type="gramEnd"/>
      <w:r>
        <w:t xml:space="preserve">-4). The Rambam (Mezuza 6:9, accepted by the Shulchan </w:t>
      </w:r>
      <w:proofErr w:type="spellStart"/>
      <w:r>
        <w:t>Aruch</w:t>
      </w:r>
      <w:proofErr w:type="spellEnd"/>
      <w:r>
        <w:t xml:space="preserve">, YD 286:11) says that a store in a marketplace does not require </w:t>
      </w:r>
      <w:proofErr w:type="spellStart"/>
      <w:r>
        <w:rPr>
          <w:i/>
          <w:iCs/>
        </w:rPr>
        <w:t>mezuzot</w:t>
      </w:r>
      <w:proofErr w:type="spellEnd"/>
      <w:r>
        <w:t xml:space="preserve"> seems to imply that </w:t>
      </w:r>
      <w:r>
        <w:rPr>
          <w:i/>
          <w:iCs/>
        </w:rPr>
        <w:t xml:space="preserve">mezuza </w:t>
      </w:r>
      <w:r>
        <w:t xml:space="preserve">requires domestic living. However, some attribute the Rambam’s exemption to other factors – it is used only in the daytime; the market was only on certain days. Still, most </w:t>
      </w:r>
      <w:proofErr w:type="spellStart"/>
      <w:r>
        <w:rPr>
          <w:i/>
          <w:iCs/>
        </w:rPr>
        <w:t>poskim</w:t>
      </w:r>
      <w:proofErr w:type="spellEnd"/>
      <w:r>
        <w:t xml:space="preserve"> suggest not making a </w:t>
      </w:r>
      <w:proofErr w:type="spellStart"/>
      <w:r>
        <w:rPr>
          <w:i/>
          <w:iCs/>
        </w:rPr>
        <w:t>beracha</w:t>
      </w:r>
      <w:proofErr w:type="spellEnd"/>
      <w:r>
        <w:t xml:space="preserve"> on attaching the </w:t>
      </w:r>
      <w:r>
        <w:rPr>
          <w:i/>
          <w:iCs/>
        </w:rPr>
        <w:t>mezuza</w:t>
      </w:r>
      <w:r>
        <w:t xml:space="preserve"> to a commercial space due to doubt about the requirement (see LTHP ibid.).</w:t>
      </w:r>
    </w:p>
    <w:p w14:paraId="00F0E320" w14:textId="77777777" w:rsidR="00235976" w:rsidRPr="007642E0" w:rsidRDefault="00235976" w:rsidP="00235976">
      <w:pPr>
        <w:bidi w:val="0"/>
        <w:ind w:right="26" w:firstLine="450"/>
      </w:pPr>
      <w:r>
        <w:t xml:space="preserve">The simplest advice is to affix the </w:t>
      </w:r>
      <w:proofErr w:type="spellStart"/>
      <w:r>
        <w:rPr>
          <w:i/>
          <w:iCs/>
        </w:rPr>
        <w:t>mezuzot</w:t>
      </w:r>
      <w:proofErr w:type="spellEnd"/>
      <w:r>
        <w:t xml:space="preserve"> without a </w:t>
      </w:r>
      <w:proofErr w:type="spellStart"/>
      <w:r>
        <w:rPr>
          <w:i/>
          <w:iCs/>
        </w:rPr>
        <w:t>beracha</w:t>
      </w:r>
      <w:proofErr w:type="spellEnd"/>
      <w:r>
        <w:t xml:space="preserve">. If you want to find a way to make a </w:t>
      </w:r>
      <w:proofErr w:type="spellStart"/>
      <w:r>
        <w:rPr>
          <w:i/>
          <w:iCs/>
        </w:rPr>
        <w:t>beracha</w:t>
      </w:r>
      <w:proofErr w:type="spellEnd"/>
      <w:r>
        <w:t xml:space="preserve"> appropriate, you can use the </w:t>
      </w:r>
      <w:proofErr w:type="spellStart"/>
      <w:r>
        <w:rPr>
          <w:i/>
          <w:iCs/>
        </w:rPr>
        <w:t>tzimmer</w:t>
      </w:r>
      <w:proofErr w:type="spellEnd"/>
      <w:r>
        <w:rPr>
          <w:i/>
          <w:iCs/>
        </w:rPr>
        <w:t xml:space="preserve"> </w:t>
      </w:r>
      <w:r>
        <w:t xml:space="preserve">for personal needs either before turning it commercial or even afterwards, if you do so from time to time. This includes having close family and friends being semi-frequent occupants, as many consider the living use of such people like your own (see </w:t>
      </w:r>
      <w:proofErr w:type="spellStart"/>
      <w:r>
        <w:t>Torat</w:t>
      </w:r>
      <w:proofErr w:type="spellEnd"/>
      <w:r>
        <w:t xml:space="preserve"> </w:t>
      </w:r>
      <w:proofErr w:type="spellStart"/>
      <w:r>
        <w:t>Hamezuza</w:t>
      </w:r>
      <w:proofErr w:type="spellEnd"/>
      <w:r>
        <w:t xml:space="preserve"> ibid.). Note common practice is that one who moves into a house that has a room set aside as a guest room affixes a </w:t>
      </w:r>
      <w:r>
        <w:rPr>
          <w:i/>
          <w:iCs/>
        </w:rPr>
        <w:t>mezuza</w:t>
      </w:r>
      <w:r>
        <w:t xml:space="preserve"> on it without a </w:t>
      </w:r>
      <w:proofErr w:type="spellStart"/>
      <w:r>
        <w:rPr>
          <w:i/>
          <w:iCs/>
        </w:rPr>
        <w:t>beracha</w:t>
      </w:r>
      <w:proofErr w:type="spellEnd"/>
      <w:r>
        <w:t xml:space="preserve">, even if the guests are not constant! </w:t>
      </w:r>
    </w:p>
    <w:p w14:paraId="797BFA1F" w14:textId="21715DC5" w:rsidR="00610395" w:rsidRDefault="00610395" w:rsidP="00610395">
      <w:pPr>
        <w:bidi w:val="0"/>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176B55"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4EBE436C" w14:textId="77777777" w:rsidR="00A504CA" w:rsidRDefault="00A504CA" w:rsidP="00D201E2">
      <w:pPr>
        <w:bidi w:val="0"/>
        <w:contextualSpacing/>
        <w:jc w:val="center"/>
      </w:pPr>
    </w:p>
    <w:p w14:paraId="02062035" w14:textId="320A4322" w:rsidR="001D2511" w:rsidRDefault="004848C0" w:rsidP="00A504C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275E28D1" w14:textId="77777777" w:rsidR="00151C57" w:rsidRDefault="00151C57" w:rsidP="00A504CA">
      <w:pPr>
        <w:bidi w:val="0"/>
        <w:contextualSpacing/>
      </w:pPr>
    </w:p>
    <w:p w14:paraId="485E8DCE" w14:textId="77777777" w:rsidR="00151C57" w:rsidRDefault="00151C57" w:rsidP="00151C57">
      <w:pPr>
        <w:bidi w:val="0"/>
        <w:contextualSpacing/>
      </w:pPr>
    </w:p>
    <w:p w14:paraId="496F39E0" w14:textId="77777777" w:rsidR="00151C57" w:rsidRDefault="00151C57" w:rsidP="00151C57">
      <w:pPr>
        <w:bidi w:val="0"/>
        <w:contextualSpacing/>
      </w:pPr>
    </w:p>
    <w:p w14:paraId="2ABE3558" w14:textId="77777777" w:rsidR="00151C57" w:rsidRDefault="00151C57" w:rsidP="00151C57">
      <w:pPr>
        <w:bidi w:val="0"/>
        <w:contextualSpacing/>
      </w:pPr>
    </w:p>
    <w:p w14:paraId="56CC0BC0" w14:textId="77777777" w:rsidR="00151C57" w:rsidRDefault="00151C57" w:rsidP="00151C57">
      <w:pPr>
        <w:bidi w:val="0"/>
        <w:contextualSpacing/>
      </w:pPr>
    </w:p>
    <w:p w14:paraId="0AA657C5" w14:textId="5E113FDE" w:rsidR="00A504CA" w:rsidRDefault="00A504CA" w:rsidP="00151C57">
      <w:pPr>
        <w:bidi w:val="0"/>
        <w:contextualSpacing/>
      </w:pPr>
      <w:r>
        <w:rPr>
          <w:noProof/>
        </w:rPr>
        <w:drawing>
          <wp:inline distT="0" distB="0" distL="0" distR="0" wp14:anchorId="2E2233E6" wp14:editId="712DB7B9">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5E5770C1" w14:textId="77777777" w:rsidR="007E27F6" w:rsidRDefault="007E27F6" w:rsidP="00F43A9D">
      <w:pPr>
        <w:bidi w:val="0"/>
        <w:jc w:val="center"/>
        <w:rPr>
          <w:b/>
          <w:bCs/>
          <w:color w:val="002060"/>
          <w:sz w:val="28"/>
          <w:szCs w:val="28"/>
        </w:rPr>
      </w:pPr>
    </w:p>
    <w:p w14:paraId="15D02B9D" w14:textId="77777777" w:rsidR="003A209E" w:rsidRDefault="003A209E" w:rsidP="00151C57">
      <w:pPr>
        <w:bidi w:val="0"/>
        <w:rPr>
          <w:b/>
          <w:bCs/>
          <w:color w:val="D85640"/>
          <w:sz w:val="28"/>
          <w:szCs w:val="28"/>
        </w:rPr>
      </w:pPr>
    </w:p>
    <w:p w14:paraId="443B025B" w14:textId="77777777" w:rsidR="00235976" w:rsidRPr="00466190" w:rsidRDefault="00235976" w:rsidP="00235976">
      <w:pPr>
        <w:bidi w:val="0"/>
        <w:rPr>
          <w:b/>
          <w:bCs/>
          <w:color w:val="D85640"/>
          <w:sz w:val="28"/>
          <w:szCs w:val="28"/>
        </w:rPr>
      </w:pPr>
      <w:r>
        <w:rPr>
          <w:b/>
          <w:bCs/>
          <w:color w:val="D85640"/>
          <w:sz w:val="28"/>
          <w:szCs w:val="28"/>
        </w:rPr>
        <w:t>Open the Gates</w:t>
      </w:r>
    </w:p>
    <w:p w14:paraId="26D62EBB" w14:textId="77777777" w:rsidR="00235976" w:rsidRPr="00466190" w:rsidRDefault="00235976" w:rsidP="00235976">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w:t>
      </w:r>
      <w:r>
        <w:t xml:space="preserve"> 391 – Address at </w:t>
      </w:r>
      <w:proofErr w:type="spellStart"/>
      <w:r>
        <w:rPr>
          <w:i/>
          <w:iCs/>
        </w:rPr>
        <w:t>hachnasat</w:t>
      </w:r>
      <w:proofErr w:type="spellEnd"/>
      <w:r>
        <w:rPr>
          <w:i/>
          <w:iCs/>
        </w:rPr>
        <w:t xml:space="preserve"> </w:t>
      </w:r>
      <w:proofErr w:type="spellStart"/>
      <w:r>
        <w:rPr>
          <w:i/>
          <w:iCs/>
        </w:rPr>
        <w:t>sefer</w:t>
      </w:r>
      <w:proofErr w:type="spellEnd"/>
      <w:r>
        <w:rPr>
          <w:i/>
          <w:iCs/>
        </w:rPr>
        <w:t xml:space="preserve"> Torah </w:t>
      </w:r>
      <w:r>
        <w:t xml:space="preserve">at </w:t>
      </w:r>
      <w:proofErr w:type="spellStart"/>
      <w:r>
        <w:t>Yeshivat</w:t>
      </w:r>
      <w:proofErr w:type="spellEnd"/>
      <w:r>
        <w:t xml:space="preserve"> </w:t>
      </w:r>
      <w:proofErr w:type="spellStart"/>
      <w:r>
        <w:t>Merkaz</w:t>
      </w:r>
      <w:proofErr w:type="spellEnd"/>
      <w:r w:rsidRPr="00466190">
        <w:t xml:space="preserve"> </w:t>
      </w:r>
    </w:p>
    <w:p w14:paraId="01CB9554" w14:textId="77777777" w:rsidR="00235976" w:rsidRDefault="00235976" w:rsidP="00235976">
      <w:pPr>
        <w:bidi w:val="0"/>
        <w:ind w:firstLine="360"/>
      </w:pPr>
    </w:p>
    <w:p w14:paraId="7A2C5F60" w14:textId="77777777" w:rsidR="00235976" w:rsidRDefault="00235976" w:rsidP="00235976">
      <w:pPr>
        <w:bidi w:val="0"/>
        <w:ind w:firstLine="360"/>
      </w:pPr>
      <w:r>
        <w:t>“Gates, raise your heads, and raise the openings of the world, and the King of Honor shall come. Who is the King of Honor? It is Hashem, the Master of Legions …” (</w:t>
      </w:r>
      <w:proofErr w:type="spellStart"/>
      <w:r>
        <w:t>Tehillim</w:t>
      </w:r>
      <w:proofErr w:type="spellEnd"/>
      <w:r>
        <w:t xml:space="preserve"> 24:9-10). </w:t>
      </w:r>
    </w:p>
    <w:p w14:paraId="1353D7FF" w14:textId="77777777" w:rsidR="00235976" w:rsidRDefault="00235976" w:rsidP="00235976">
      <w:pPr>
        <w:bidi w:val="0"/>
        <w:ind w:firstLine="360"/>
      </w:pPr>
      <w:r>
        <w:t xml:space="preserve">The </w:t>
      </w:r>
      <w:proofErr w:type="spellStart"/>
      <w:r>
        <w:rPr>
          <w:i/>
          <w:iCs/>
        </w:rPr>
        <w:t>gemara</w:t>
      </w:r>
      <w:proofErr w:type="spellEnd"/>
      <w:r>
        <w:rPr>
          <w:i/>
          <w:iCs/>
        </w:rPr>
        <w:t xml:space="preserve"> </w:t>
      </w:r>
      <w:r>
        <w:t xml:space="preserve">(Shabbat 30a) tells that when </w:t>
      </w:r>
      <w:proofErr w:type="spellStart"/>
      <w:r>
        <w:t>Shlomo</w:t>
      </w:r>
      <w:proofErr w:type="spellEnd"/>
      <w:r>
        <w:t xml:space="preserve"> wanted to bring the </w:t>
      </w:r>
      <w:proofErr w:type="spellStart"/>
      <w:r w:rsidRPr="006513BD">
        <w:rPr>
          <w:i/>
          <w:iCs/>
        </w:rPr>
        <w:t>aron</w:t>
      </w:r>
      <w:proofErr w:type="spellEnd"/>
      <w:r>
        <w:t xml:space="preserve"> into the </w:t>
      </w:r>
      <w:r>
        <w:rPr>
          <w:i/>
          <w:iCs/>
        </w:rPr>
        <w:t xml:space="preserve">Beit </w:t>
      </w:r>
      <w:proofErr w:type="spellStart"/>
      <w:r>
        <w:rPr>
          <w:i/>
          <w:iCs/>
        </w:rPr>
        <w:t>Hamikdash</w:t>
      </w:r>
      <w:proofErr w:type="spellEnd"/>
      <w:r>
        <w:t xml:space="preserve">, the gates were sealed tight until </w:t>
      </w:r>
      <w:proofErr w:type="spellStart"/>
      <w:r>
        <w:t>Shlomo</w:t>
      </w:r>
      <w:proofErr w:type="spellEnd"/>
      <w:r>
        <w:t xml:space="preserve"> mentioned the virtues of his father (see </w:t>
      </w:r>
      <w:proofErr w:type="spellStart"/>
      <w:r>
        <w:t>Divrei</w:t>
      </w:r>
      <w:proofErr w:type="spellEnd"/>
      <w:r>
        <w:t xml:space="preserve"> </w:t>
      </w:r>
      <w:proofErr w:type="spellStart"/>
      <w:r>
        <w:t>Hayamim</w:t>
      </w:r>
      <w:proofErr w:type="spellEnd"/>
      <w:r>
        <w:t xml:space="preserve"> II 6:42). A </w:t>
      </w:r>
      <w:r>
        <w:rPr>
          <w:i/>
          <w:iCs/>
        </w:rPr>
        <w:t>midrash</w:t>
      </w:r>
      <w:r>
        <w:t xml:space="preserve"> (</w:t>
      </w:r>
      <w:proofErr w:type="spellStart"/>
      <w:r>
        <w:t>Yalkut</w:t>
      </w:r>
      <w:proofErr w:type="spellEnd"/>
      <w:r>
        <w:t xml:space="preserve"> </w:t>
      </w:r>
      <w:proofErr w:type="spellStart"/>
      <w:r>
        <w:t>Shimoni</w:t>
      </w:r>
      <w:proofErr w:type="spellEnd"/>
      <w:r>
        <w:t xml:space="preserve">, </w:t>
      </w:r>
      <w:proofErr w:type="spellStart"/>
      <w:r>
        <w:t>Tehillim</w:t>
      </w:r>
      <w:proofErr w:type="spellEnd"/>
      <w:r>
        <w:t xml:space="preserve"> 699) explains that the </w:t>
      </w:r>
      <w:proofErr w:type="spellStart"/>
      <w:r>
        <w:rPr>
          <w:i/>
          <w:iCs/>
        </w:rPr>
        <w:t>aron</w:t>
      </w:r>
      <w:proofErr w:type="spellEnd"/>
      <w:r>
        <w:t xml:space="preserve"> could not pass because the doors were not made in a way that could spiritually accommodate them, and therefore they remained sealed at that time. One needs to know that when you build a Sanctuary, it must not be done for glory but for the </w:t>
      </w:r>
      <w:proofErr w:type="spellStart"/>
      <w:r>
        <w:rPr>
          <w:i/>
          <w:iCs/>
        </w:rPr>
        <w:t>aron</w:t>
      </w:r>
      <w:proofErr w:type="spellEnd"/>
      <w:r>
        <w:rPr>
          <w:i/>
          <w:iCs/>
        </w:rPr>
        <w:t xml:space="preserve"> </w:t>
      </w:r>
      <w:proofErr w:type="spellStart"/>
      <w:r>
        <w:rPr>
          <w:i/>
          <w:iCs/>
        </w:rPr>
        <w:t>hakodesh</w:t>
      </w:r>
      <w:proofErr w:type="spellEnd"/>
      <w:r>
        <w:t xml:space="preserve">, i.e., the foundation of Jewish sanctity that stems from the Torah. All of the grandest halls are nothing if the </w:t>
      </w:r>
      <w:proofErr w:type="spellStart"/>
      <w:r>
        <w:rPr>
          <w:i/>
          <w:iCs/>
        </w:rPr>
        <w:t>sefer</w:t>
      </w:r>
      <w:proofErr w:type="spellEnd"/>
      <w:r>
        <w:rPr>
          <w:i/>
          <w:iCs/>
        </w:rPr>
        <w:t xml:space="preserve"> Torah </w:t>
      </w:r>
      <w:r>
        <w:t xml:space="preserve">cannot enter it. </w:t>
      </w:r>
    </w:p>
    <w:p w14:paraId="12920E42" w14:textId="77777777" w:rsidR="00235976" w:rsidRDefault="00235976" w:rsidP="00235976">
      <w:pPr>
        <w:bidi w:val="0"/>
        <w:ind w:firstLine="360"/>
      </w:pPr>
      <w:r>
        <w:t xml:space="preserve">  “Gates, raise your heads” – one must raise and open the gates. One must sanctify the path and pave the way so the </w:t>
      </w:r>
      <w:proofErr w:type="spellStart"/>
      <w:r>
        <w:rPr>
          <w:i/>
          <w:iCs/>
        </w:rPr>
        <w:t>sefer</w:t>
      </w:r>
      <w:proofErr w:type="spellEnd"/>
      <w:r>
        <w:rPr>
          <w:i/>
          <w:iCs/>
        </w:rPr>
        <w:t xml:space="preserve"> Torah</w:t>
      </w:r>
      <w:r>
        <w:t xml:space="preserve"> can enter. One can build the building and forget the main thing, the foundation, the ability to bring in the </w:t>
      </w:r>
      <w:proofErr w:type="spellStart"/>
      <w:r>
        <w:rPr>
          <w:i/>
          <w:iCs/>
        </w:rPr>
        <w:t>sefer</w:t>
      </w:r>
      <w:proofErr w:type="spellEnd"/>
      <w:r>
        <w:rPr>
          <w:i/>
          <w:iCs/>
        </w:rPr>
        <w:t xml:space="preserve"> Torah </w:t>
      </w:r>
      <w:r>
        <w:t xml:space="preserve">[i.e., the content]. </w:t>
      </w:r>
    </w:p>
    <w:p w14:paraId="0839AB6F" w14:textId="77777777" w:rsidR="00235976" w:rsidRDefault="00235976" w:rsidP="00235976">
      <w:pPr>
        <w:bidi w:val="0"/>
        <w:ind w:firstLine="360"/>
      </w:pPr>
      <w:r>
        <w:t xml:space="preserve">These days, we have the same issue; the “gates” seem sealed to the Torah, and we need to fight to get them open. Without the gates, the whole building (ed. note – apparently referring to the State of Israel) is not worth anything; it can all collapse and falter. It can be beautiful but missing the critical spirit. Therefore, we are praying that the </w:t>
      </w:r>
      <w:proofErr w:type="spellStart"/>
      <w:r>
        <w:rPr>
          <w:i/>
          <w:iCs/>
        </w:rPr>
        <w:t>aron</w:t>
      </w:r>
      <w:proofErr w:type="spellEnd"/>
      <w:r>
        <w:t xml:space="preserve"> be led on the path that will enable it to sanctify the cities of Israel and their streets, so that every corner of the country </w:t>
      </w:r>
      <w:proofErr w:type="gramStart"/>
      <w:r>
        <w:t>will  have</w:t>
      </w:r>
      <w:proofErr w:type="gramEnd"/>
      <w:r>
        <w:t xml:space="preserve"> sanctity. If it is holy, no wind in the world will be able to move it.</w:t>
      </w:r>
    </w:p>
    <w:p w14:paraId="2772704E" w14:textId="77777777" w:rsidR="00235976" w:rsidRDefault="00235976" w:rsidP="00235976">
      <w:pPr>
        <w:bidi w:val="0"/>
        <w:ind w:firstLine="360"/>
      </w:pPr>
      <w:r>
        <w:t xml:space="preserve">“It was as the </w:t>
      </w:r>
      <w:proofErr w:type="spellStart"/>
      <w:r>
        <w:rPr>
          <w:i/>
          <w:iCs/>
        </w:rPr>
        <w:t>aron</w:t>
      </w:r>
      <w:proofErr w:type="spellEnd"/>
      <w:r>
        <w:t xml:space="preserve"> traveled that Moshe said …” (</w:t>
      </w:r>
      <w:proofErr w:type="spellStart"/>
      <w:r>
        <w:t>Bamidbar</w:t>
      </w:r>
      <w:proofErr w:type="spellEnd"/>
      <w:r>
        <w:t xml:space="preserve"> 10:35). When the </w:t>
      </w:r>
      <w:proofErr w:type="spellStart"/>
      <w:r>
        <w:rPr>
          <w:i/>
          <w:iCs/>
        </w:rPr>
        <w:t>aron</w:t>
      </w:r>
      <w:proofErr w:type="spellEnd"/>
      <w:r>
        <w:rPr>
          <w:i/>
          <w:iCs/>
        </w:rPr>
        <w:t xml:space="preserve"> </w:t>
      </w:r>
      <w:r>
        <w:t xml:space="preserve">travels from its resting place, when a path is paved to allow it to enter, as people sanctify the city, the streets become holy as a result. When we went dancing in the street in Jerusalem, we sanctified it and its surroundings. Whoever wants to tear a piece of Jerusalem from us wants to tear out the very essence of Israel. We sanctified the city, and the </w:t>
      </w:r>
      <w:proofErr w:type="spellStart"/>
      <w:r>
        <w:rPr>
          <w:i/>
          <w:iCs/>
        </w:rPr>
        <w:t>aron</w:t>
      </w:r>
      <w:proofErr w:type="spellEnd"/>
      <w:r>
        <w:rPr>
          <w:i/>
          <w:iCs/>
        </w:rPr>
        <w:t xml:space="preserve"> </w:t>
      </w:r>
      <w:r>
        <w:t xml:space="preserve">passed through its streets, past the houses of Israel. That is the essence of “How good are your tents, Yaakov, your dwellings, Israel” (ibid. 24:5). The dwellings of Israel and their tents, i.e., their families, go together hand-in-hand. When each is strong, no power can have dominion over them. </w:t>
      </w:r>
    </w:p>
    <w:p w14:paraId="6C4B35E7" w14:textId="77777777" w:rsidR="00235976" w:rsidRDefault="00235976" w:rsidP="00235976">
      <w:pPr>
        <w:bidi w:val="0"/>
        <w:ind w:firstLine="360"/>
      </w:pPr>
      <w:r>
        <w:t>“Hashem switched the curse into blessing, because Hashem loved you” (</w:t>
      </w:r>
      <w:proofErr w:type="spellStart"/>
      <w:r>
        <w:t>Devarim</w:t>
      </w:r>
      <w:proofErr w:type="spellEnd"/>
      <w:r>
        <w:t xml:space="preserve"> 23:6). While the Torah says Hashem switched the curse into a blessing, </w:t>
      </w:r>
      <w:r>
        <w:rPr>
          <w:i/>
          <w:iCs/>
        </w:rPr>
        <w:t>Chazal</w:t>
      </w:r>
      <w:r>
        <w:t xml:space="preserve"> (Sanhedrin 105b) tell us that all of the blessings but one, “How good are your tents …,” returned to curses. But if they turned back into curses, what good is it that they switched into blessings in the first place?</w:t>
      </w:r>
    </w:p>
    <w:p w14:paraId="1C5FC965" w14:textId="77777777" w:rsidR="00235976" w:rsidRDefault="00235976" w:rsidP="00235976">
      <w:pPr>
        <w:bidi w:val="0"/>
        <w:ind w:firstLine="360"/>
      </w:pPr>
      <w:r>
        <w:t xml:space="preserve">The answer is the continuation of the </w:t>
      </w:r>
      <w:proofErr w:type="spellStart"/>
      <w:r>
        <w:rPr>
          <w:i/>
          <w:iCs/>
        </w:rPr>
        <w:t>pasuk</w:t>
      </w:r>
      <w:proofErr w:type="spellEnd"/>
      <w:r>
        <w:t>,</w:t>
      </w:r>
      <w:r>
        <w:rPr>
          <w:i/>
          <w:iCs/>
        </w:rPr>
        <w:t xml:space="preserve"> </w:t>
      </w:r>
      <w:r>
        <w:t xml:space="preserve">“because Hashem loved you.” He gave us the true key to knowing when the blessings can turn back into curses and when not. “How good are your tents” – if there are good families, acting properly so that the divine cloud is above their houses, and they join up with the dwellings of sanctity, the </w:t>
      </w:r>
      <w:proofErr w:type="spellStart"/>
      <w:r>
        <w:rPr>
          <w:i/>
          <w:iCs/>
        </w:rPr>
        <w:t>batei</w:t>
      </w:r>
      <w:proofErr w:type="spellEnd"/>
      <w:r>
        <w:rPr>
          <w:i/>
          <w:iCs/>
        </w:rPr>
        <w:t xml:space="preserve"> </w:t>
      </w:r>
      <w:proofErr w:type="spellStart"/>
      <w:r>
        <w:rPr>
          <w:i/>
          <w:iCs/>
        </w:rPr>
        <w:t>knesset</w:t>
      </w:r>
      <w:proofErr w:type="spellEnd"/>
      <w:r>
        <w:rPr>
          <w:i/>
          <w:iCs/>
        </w:rPr>
        <w:t xml:space="preserve"> </w:t>
      </w:r>
      <w:r>
        <w:t xml:space="preserve">and </w:t>
      </w:r>
      <w:proofErr w:type="spellStart"/>
      <w:r>
        <w:rPr>
          <w:i/>
          <w:iCs/>
        </w:rPr>
        <w:t>batei</w:t>
      </w:r>
      <w:proofErr w:type="spellEnd"/>
      <w:r>
        <w:rPr>
          <w:i/>
          <w:iCs/>
        </w:rPr>
        <w:t xml:space="preserve"> midrash</w:t>
      </w:r>
      <w:r>
        <w:t xml:space="preserve">, where Torah is learned and fear of Heaven grows, this brings the protection against blessings turning into curses. </w:t>
      </w:r>
    </w:p>
    <w:p w14:paraId="21BDDF84" w14:textId="77777777" w:rsidR="00235976" w:rsidRPr="005F2A85" w:rsidRDefault="00235976" w:rsidP="00235976">
      <w:pPr>
        <w:bidi w:val="0"/>
        <w:ind w:firstLine="360"/>
      </w:pPr>
      <w:proofErr w:type="gramStart"/>
      <w:r>
        <w:t>Tonight</w:t>
      </w:r>
      <w:proofErr w:type="gramEnd"/>
      <w:r>
        <w:t xml:space="preserve"> we have had the privilege, through Rav </w:t>
      </w:r>
      <w:proofErr w:type="spellStart"/>
      <w:r>
        <w:t>Magnes</w:t>
      </w:r>
      <w:proofErr w:type="spellEnd"/>
      <w:r>
        <w:t xml:space="preserve"> and his wife/home, to experience the honor of Torah and be joyous with it. We request and pray that not only will we be happy with the Torah, but the Torah will be happy with our happiness. There should be mutual happiness, as fitting for the aforementioned </w:t>
      </w:r>
      <w:proofErr w:type="spellStart"/>
      <w:r>
        <w:rPr>
          <w:i/>
          <w:iCs/>
        </w:rPr>
        <w:t>pasuk</w:t>
      </w:r>
      <w:proofErr w:type="spellEnd"/>
      <w:r>
        <w:t xml:space="preserve">. This comes from the family/tent, and it is noticeable in the house, that </w:t>
      </w:r>
      <w:proofErr w:type="spellStart"/>
      <w:r>
        <w:rPr>
          <w:i/>
          <w:iCs/>
        </w:rPr>
        <w:t>Mishkan</w:t>
      </w:r>
      <w:proofErr w:type="spellEnd"/>
      <w:r>
        <w:t xml:space="preserve"> of Hashem where Hashem’s “voice” is heard clearly through the Torah. </w:t>
      </w:r>
    </w:p>
    <w:p w14:paraId="1DBEDB4E" w14:textId="0E619C53" w:rsidR="00E41417" w:rsidRDefault="00E41417" w:rsidP="00E41417">
      <w:pPr>
        <w:bidi w:val="0"/>
        <w:spacing w:line="276" w:lineRule="auto"/>
        <w:ind w:firstLine="360"/>
      </w:pPr>
    </w:p>
    <w:p w14:paraId="51B6D4B9" w14:textId="6E0B9C5D" w:rsidR="00151C57" w:rsidRDefault="00151C57" w:rsidP="00151C57">
      <w:pPr>
        <w:bidi w:val="0"/>
        <w:spacing w:line="276" w:lineRule="auto"/>
        <w:ind w:firstLine="360"/>
      </w:pPr>
    </w:p>
    <w:p w14:paraId="4E7A8FD9" w14:textId="4EED5F9B" w:rsidR="00151C57" w:rsidRDefault="00151C57" w:rsidP="00151C57">
      <w:pPr>
        <w:bidi w:val="0"/>
        <w:spacing w:line="276" w:lineRule="auto"/>
        <w:ind w:firstLine="360"/>
      </w:pPr>
    </w:p>
    <w:p w14:paraId="0379AD1B" w14:textId="6DF29895" w:rsidR="00151C57" w:rsidRDefault="00151C57" w:rsidP="00151C57">
      <w:pPr>
        <w:bidi w:val="0"/>
        <w:spacing w:line="276" w:lineRule="auto"/>
        <w:ind w:firstLine="360"/>
      </w:pPr>
    </w:p>
    <w:p w14:paraId="0ED479AD" w14:textId="084CAAE8" w:rsidR="00151C57" w:rsidRDefault="00151C57" w:rsidP="00151C57">
      <w:pPr>
        <w:bidi w:val="0"/>
        <w:spacing w:line="276" w:lineRule="auto"/>
        <w:ind w:firstLine="360"/>
      </w:pPr>
    </w:p>
    <w:p w14:paraId="00453D95" w14:textId="77777777" w:rsidR="00151C57" w:rsidRDefault="00151C57" w:rsidP="00151C57">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12AD917B" w:rsidR="00572D18" w:rsidRDefault="00572D18" w:rsidP="00E74F58">
      <w:pPr>
        <w:pStyle w:val="Heading2"/>
        <w:bidi w:val="0"/>
        <w:spacing w:before="0" w:after="0"/>
        <w:rPr>
          <w:i w:val="0"/>
          <w:iCs w:val="0"/>
          <w:color w:val="D85640"/>
        </w:rPr>
      </w:pPr>
    </w:p>
    <w:p w14:paraId="3D73D32D" w14:textId="125B4C9C" w:rsidR="00572D18" w:rsidRDefault="00E41417"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D9BC26F">
            <wp:simplePos x="0" y="0"/>
            <wp:positionH relativeFrom="margin">
              <wp:posOffset>-635</wp:posOffset>
            </wp:positionH>
            <wp:positionV relativeFrom="paragraph">
              <wp:posOffset>5715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0850BD" w14:textId="474A8EF6" w:rsidR="00E74F58" w:rsidRDefault="00E74F58" w:rsidP="00572D18">
      <w:pPr>
        <w:pStyle w:val="Heading2"/>
        <w:bidi w:val="0"/>
        <w:spacing w:before="0" w:after="0"/>
        <w:rPr>
          <w:i w:val="0"/>
          <w:iCs w:val="0"/>
          <w:color w:val="D85640"/>
        </w:rPr>
      </w:pPr>
    </w:p>
    <w:p w14:paraId="58DBFD5C" w14:textId="77777777" w:rsidR="00E41417" w:rsidRDefault="00E41417" w:rsidP="00D3307B">
      <w:pPr>
        <w:pStyle w:val="Heading2"/>
        <w:bidi w:val="0"/>
        <w:spacing w:before="0" w:after="0"/>
        <w:contextualSpacing/>
        <w:mirrorIndents/>
        <w:jc w:val="both"/>
        <w:rPr>
          <w:i w:val="0"/>
          <w:iCs w:val="0"/>
          <w:color w:val="D85640"/>
        </w:rPr>
      </w:pPr>
    </w:p>
    <w:p w14:paraId="235C6A1F" w14:textId="77777777" w:rsidR="00176B55" w:rsidRPr="00176B55" w:rsidRDefault="00176B55" w:rsidP="00176B55">
      <w:pPr>
        <w:pStyle w:val="Heading2"/>
        <w:bidi w:val="0"/>
        <w:spacing w:before="0" w:after="0"/>
        <w:jc w:val="both"/>
        <w:rPr>
          <w:i w:val="0"/>
          <w:iCs w:val="0"/>
          <w:sz w:val="20"/>
        </w:rPr>
      </w:pPr>
      <w:r w:rsidRPr="00176B55">
        <w:rPr>
          <w:i w:val="0"/>
          <w:iCs w:val="0"/>
          <w:color w:val="D85640"/>
        </w:rPr>
        <w:t>Complaints about Contractor’s Work – part I</w:t>
      </w:r>
      <w:r w:rsidRPr="00176B55">
        <w:rPr>
          <w:i w:val="0"/>
          <w:iCs w:val="0"/>
          <w:sz w:val="20"/>
        </w:rPr>
        <w:t xml:space="preserve"> </w:t>
      </w:r>
    </w:p>
    <w:p w14:paraId="2B5FE288" w14:textId="77777777" w:rsidR="00176B55" w:rsidRPr="00176B55" w:rsidRDefault="00176B55" w:rsidP="00176B55">
      <w:pPr>
        <w:pStyle w:val="Heading2"/>
        <w:bidi w:val="0"/>
        <w:spacing w:before="0" w:after="0"/>
        <w:rPr>
          <w:b w:val="0"/>
          <w:bCs w:val="0"/>
          <w:i w:val="0"/>
          <w:iCs w:val="0"/>
          <w:sz w:val="22"/>
          <w:szCs w:val="18"/>
        </w:rPr>
      </w:pPr>
      <w:r w:rsidRPr="00176B55">
        <w:rPr>
          <w:b w:val="0"/>
          <w:bCs w:val="0"/>
          <w:i w:val="0"/>
          <w:iCs w:val="0"/>
          <w:sz w:val="20"/>
        </w:rPr>
        <w:t>(</w:t>
      </w:r>
      <w:proofErr w:type="gramStart"/>
      <w:r w:rsidRPr="00176B55">
        <w:rPr>
          <w:b w:val="0"/>
          <w:bCs w:val="0"/>
          <w:i w:val="0"/>
          <w:iCs w:val="0"/>
          <w:sz w:val="20"/>
        </w:rPr>
        <w:t>based</w:t>
      </w:r>
      <w:proofErr w:type="gramEnd"/>
      <w:r w:rsidRPr="00176B55">
        <w:rPr>
          <w:b w:val="0"/>
          <w:bCs w:val="0"/>
          <w:i w:val="0"/>
          <w:iCs w:val="0"/>
          <w:sz w:val="20"/>
        </w:rPr>
        <w:t xml:space="preserve"> on ruling 83037.1 of the Eretz Hemdah-</w:t>
      </w:r>
      <w:proofErr w:type="spellStart"/>
      <w:r w:rsidRPr="00176B55">
        <w:rPr>
          <w:b w:val="0"/>
          <w:bCs w:val="0"/>
          <w:i w:val="0"/>
          <w:iCs w:val="0"/>
          <w:sz w:val="20"/>
        </w:rPr>
        <w:t>Gazit</w:t>
      </w:r>
      <w:proofErr w:type="spellEnd"/>
      <w:r w:rsidRPr="00176B55">
        <w:rPr>
          <w:b w:val="0"/>
          <w:bCs w:val="0"/>
          <w:i w:val="0"/>
          <w:iCs w:val="0"/>
          <w:sz w:val="20"/>
        </w:rPr>
        <w:t xml:space="preserve"> Rabbinical Courts)</w:t>
      </w:r>
    </w:p>
    <w:p w14:paraId="188248E3" w14:textId="77777777" w:rsidR="00176B55" w:rsidRPr="006C633B" w:rsidRDefault="00176B55" w:rsidP="00176B55">
      <w:pPr>
        <w:bidi w:val="0"/>
        <w:jc w:val="both"/>
        <w:rPr>
          <w:sz w:val="24"/>
        </w:rPr>
      </w:pPr>
    </w:p>
    <w:p w14:paraId="5932D8E5" w14:textId="77777777" w:rsidR="00176B55" w:rsidRPr="003B6908" w:rsidRDefault="00176B55" w:rsidP="00176B55">
      <w:pPr>
        <w:bidi w:val="0"/>
        <w:rPr>
          <w:i/>
          <w:iCs/>
        </w:rPr>
      </w:pPr>
      <w:r w:rsidRPr="0024039C">
        <w:rPr>
          <w:b/>
          <w:bCs/>
          <w:color w:val="D85640"/>
          <w:sz w:val="24"/>
          <w:u w:val="single"/>
        </w:rPr>
        <w:t>Case</w:t>
      </w:r>
      <w:r w:rsidRPr="0024039C">
        <w:rPr>
          <w:b/>
          <w:bCs/>
          <w:color w:val="D85640"/>
          <w:sz w:val="24"/>
        </w:rPr>
        <w:t>:</w:t>
      </w:r>
      <w:r>
        <w:t xml:space="preserve"> </w:t>
      </w:r>
      <w:r w:rsidRPr="00C655CF">
        <w:t>The defendant</w:t>
      </w:r>
      <w:r>
        <w:t>s</w:t>
      </w:r>
      <w:r w:rsidRPr="00C655CF">
        <w:t xml:space="preserve"> (=</w:t>
      </w:r>
      <w:r w:rsidRPr="00C655CF">
        <w:rPr>
          <w:i/>
          <w:iCs/>
        </w:rPr>
        <w:t>def</w:t>
      </w:r>
      <w:r w:rsidRPr="00C655CF">
        <w:t>) hired the plaintiff (=</w:t>
      </w:r>
      <w:r w:rsidRPr="00C655CF">
        <w:rPr>
          <w:i/>
          <w:iCs/>
        </w:rPr>
        <w:t>pl</w:t>
      </w:r>
      <w:r w:rsidRPr="00C655CF">
        <w:t>) to renovate their home for 305,</w:t>
      </w:r>
      <w:r>
        <w:t xml:space="preserve">000 </w:t>
      </w:r>
      <w:r w:rsidRPr="00C655CF">
        <w:t>NIS, agreeing to complet</w:t>
      </w:r>
      <w:r>
        <w:t xml:space="preserve">e the job by </w:t>
      </w:r>
      <w:r w:rsidRPr="00C655CF">
        <w:t xml:space="preserve">August 2022. Although </w:t>
      </w:r>
      <w:r w:rsidRPr="00C655CF">
        <w:rPr>
          <w:i/>
          <w:iCs/>
        </w:rPr>
        <w:t>def</w:t>
      </w:r>
      <w:r w:rsidRPr="00C655CF">
        <w:t xml:space="preserve"> never signed the contract, they acknowledged </w:t>
      </w:r>
      <w:r>
        <w:t>that it was seen as the basis for the deal</w:t>
      </w:r>
      <w:r w:rsidRPr="00C655CF">
        <w:t xml:space="preserve">. During the project, </w:t>
      </w:r>
      <w:r w:rsidRPr="00C655CF">
        <w:rPr>
          <w:i/>
          <w:iCs/>
        </w:rPr>
        <w:t>def</w:t>
      </w:r>
      <w:r w:rsidRPr="00C655CF">
        <w:t xml:space="preserve"> requested additions and </w:t>
      </w:r>
      <w:r>
        <w:t>changes</w:t>
      </w:r>
      <w:r w:rsidRPr="00C655CF">
        <w:t xml:space="preserve">. Relations deteriorated over alleged delays, unaddressed defects, scheduling, and billing discrepancies. </w:t>
      </w:r>
      <w:r>
        <w:t xml:space="preserve">The sides paused to take account of their mutual contractual obligations, which resulted in </w:t>
      </w:r>
      <w:r>
        <w:rPr>
          <w:i/>
          <w:iCs/>
        </w:rPr>
        <w:t>pl</w:t>
      </w:r>
      <w:r>
        <w:t xml:space="preserve"> claiming they deserved an additional 83,000 NIS, beyond the 323,000 NIS paid, due to the additions. </w:t>
      </w:r>
      <w:r>
        <w:rPr>
          <w:i/>
          <w:iCs/>
        </w:rPr>
        <w:t>Def</w:t>
      </w:r>
      <w:r>
        <w:t xml:space="preserve"> claimed they overpaid by 27,000 NIS. With </w:t>
      </w:r>
      <w:r>
        <w:rPr>
          <w:i/>
          <w:iCs/>
        </w:rPr>
        <w:t xml:space="preserve">def </w:t>
      </w:r>
      <w:r>
        <w:t xml:space="preserve">refusing to pay more and </w:t>
      </w:r>
      <w:r>
        <w:rPr>
          <w:i/>
          <w:iCs/>
        </w:rPr>
        <w:t xml:space="preserve">pl </w:t>
      </w:r>
      <w:r w:rsidRPr="007F3313">
        <w:t>therefore</w:t>
      </w:r>
      <w:r>
        <w:rPr>
          <w:i/>
          <w:iCs/>
        </w:rPr>
        <w:t xml:space="preserve"> </w:t>
      </w:r>
      <w:r>
        <w:t xml:space="preserve">refusing to continue work, including repairing imperfections, </w:t>
      </w:r>
      <w:r>
        <w:rPr>
          <w:i/>
          <w:iCs/>
        </w:rPr>
        <w:t>d</w:t>
      </w:r>
      <w:r w:rsidRPr="000C2F08">
        <w:rPr>
          <w:i/>
          <w:iCs/>
        </w:rPr>
        <w:t>ef</w:t>
      </w:r>
      <w:r>
        <w:t xml:space="preserve"> fired </w:t>
      </w:r>
      <w:r>
        <w:rPr>
          <w:i/>
          <w:iCs/>
        </w:rPr>
        <w:t xml:space="preserve">pl. </w:t>
      </w:r>
      <w:r w:rsidRPr="00C655CF">
        <w:t xml:space="preserve">The central issue in this partial ruling is whether </w:t>
      </w:r>
      <w:r w:rsidRPr="00C655CF">
        <w:rPr>
          <w:i/>
          <w:iCs/>
        </w:rPr>
        <w:t>def</w:t>
      </w:r>
      <w:r w:rsidRPr="00C655CF">
        <w:t xml:space="preserve"> was legally justified in dismissing </w:t>
      </w:r>
      <w:r w:rsidRPr="00C655CF">
        <w:rPr>
          <w:i/>
          <w:iCs/>
        </w:rPr>
        <w:t>pl</w:t>
      </w:r>
      <w:r>
        <w:t xml:space="preserve">. </w:t>
      </w:r>
    </w:p>
    <w:p w14:paraId="0EB7BE62" w14:textId="77777777" w:rsidR="00176B55" w:rsidRPr="00561B28" w:rsidRDefault="00176B55" w:rsidP="00176B55">
      <w:pPr>
        <w:bidi w:val="0"/>
        <w:jc w:val="both"/>
        <w:rPr>
          <w:sz w:val="22"/>
          <w:szCs w:val="22"/>
        </w:rPr>
      </w:pPr>
      <w:r>
        <w:t xml:space="preserve">  </w:t>
      </w:r>
    </w:p>
    <w:p w14:paraId="3A0F6C60" w14:textId="77777777" w:rsidR="00176B55" w:rsidRDefault="00176B55" w:rsidP="00176B55">
      <w:pPr>
        <w:bidi w:val="0"/>
      </w:pPr>
      <w:r w:rsidRPr="0024039C">
        <w:rPr>
          <w:b/>
          <w:bCs/>
          <w:color w:val="D85640"/>
          <w:sz w:val="24"/>
          <w:szCs w:val="24"/>
          <w:u w:val="single"/>
        </w:rPr>
        <w:t>Ruling</w:t>
      </w:r>
      <w:r w:rsidRPr="0024039C">
        <w:rPr>
          <w:b/>
          <w:bCs/>
          <w:color w:val="D85640"/>
          <w:sz w:val="24"/>
          <w:szCs w:val="24"/>
        </w:rPr>
        <w:t>:</w:t>
      </w:r>
      <w:r w:rsidRPr="00942E24">
        <w:t xml:space="preserve"> </w:t>
      </w:r>
      <w:r>
        <w:rPr>
          <w:b/>
          <w:bCs/>
        </w:rPr>
        <w:t>V</w:t>
      </w:r>
      <w:r w:rsidRPr="00C655CF">
        <w:rPr>
          <w:b/>
          <w:bCs/>
        </w:rPr>
        <w:t>alid</w:t>
      </w:r>
      <w:r>
        <w:rPr>
          <w:b/>
          <w:bCs/>
        </w:rPr>
        <w:t xml:space="preserve">ity of the contract and </w:t>
      </w:r>
      <w:proofErr w:type="spellStart"/>
      <w:r>
        <w:rPr>
          <w:b/>
          <w:bCs/>
          <w:i/>
          <w:iCs/>
        </w:rPr>
        <w:t>def’s</w:t>
      </w:r>
      <w:proofErr w:type="spellEnd"/>
      <w:r>
        <w:rPr>
          <w:b/>
          <w:bCs/>
          <w:i/>
          <w:iCs/>
        </w:rPr>
        <w:t xml:space="preserve"> </w:t>
      </w:r>
      <w:r>
        <w:rPr>
          <w:b/>
          <w:bCs/>
        </w:rPr>
        <w:t xml:space="preserve">alleged breaches </w:t>
      </w:r>
      <w:r w:rsidRPr="00782A67">
        <w:t>-</w:t>
      </w:r>
      <w:r>
        <w:rPr>
          <w:b/>
          <w:bCs/>
        </w:rPr>
        <w:t xml:space="preserve"> </w:t>
      </w:r>
      <w:r w:rsidRPr="00C655CF">
        <w:rPr>
          <w:i/>
          <w:iCs/>
        </w:rPr>
        <w:t>Pl</w:t>
      </w:r>
      <w:r w:rsidRPr="00C655CF">
        <w:t xml:space="preserve"> argued </w:t>
      </w:r>
      <w:r>
        <w:t xml:space="preserve">that </w:t>
      </w:r>
      <w:r w:rsidRPr="00C655CF">
        <w:t xml:space="preserve">the contract </w:t>
      </w:r>
      <w:r>
        <w:t xml:space="preserve">is </w:t>
      </w:r>
      <w:r w:rsidRPr="00C655CF">
        <w:t>no</w:t>
      </w:r>
      <w:r>
        <w:t xml:space="preserve">t </w:t>
      </w:r>
      <w:r w:rsidRPr="00C655CF">
        <w:t xml:space="preserve">binding because </w:t>
      </w:r>
      <w:r w:rsidRPr="00C655CF">
        <w:rPr>
          <w:i/>
          <w:iCs/>
        </w:rPr>
        <w:t>def</w:t>
      </w:r>
      <w:r w:rsidRPr="00C655CF">
        <w:t xml:space="preserve"> never signed it and </w:t>
      </w:r>
      <w:r>
        <w:t xml:space="preserve">because </w:t>
      </w:r>
      <w:r>
        <w:rPr>
          <w:i/>
          <w:iCs/>
        </w:rPr>
        <w:t xml:space="preserve">def </w:t>
      </w:r>
      <w:r w:rsidRPr="00C655CF">
        <w:t xml:space="preserve">breached </w:t>
      </w:r>
      <w:r>
        <w:t xml:space="preserve">it by not keeping to </w:t>
      </w:r>
      <w:r w:rsidRPr="00C655CF">
        <w:t>payment schedules</w:t>
      </w:r>
      <w:r>
        <w:t xml:space="preserve"> and by firing their inspector, who was mandated in the contract</w:t>
      </w:r>
      <w:r w:rsidRPr="00C655CF">
        <w:t xml:space="preserve">. </w:t>
      </w:r>
      <w:r w:rsidRPr="00C655CF">
        <w:rPr>
          <w:i/>
          <w:iCs/>
        </w:rPr>
        <w:t>Def</w:t>
      </w:r>
      <w:r w:rsidRPr="00C655CF">
        <w:t xml:space="preserve"> maintained it </w:t>
      </w:r>
      <w:r>
        <w:t xml:space="preserve">is </w:t>
      </w:r>
      <w:r w:rsidRPr="00C655CF">
        <w:t xml:space="preserve">binding, attributing payment delays to verbal extensions granted by </w:t>
      </w:r>
      <w:r w:rsidRPr="00C655CF">
        <w:rPr>
          <w:i/>
          <w:iCs/>
        </w:rPr>
        <w:t>pl</w:t>
      </w:r>
      <w:r w:rsidRPr="00C655CF">
        <w:t xml:space="preserve">'s representative. </w:t>
      </w:r>
      <w:r>
        <w:t xml:space="preserve">We </w:t>
      </w:r>
      <w:r w:rsidRPr="00C655CF">
        <w:t xml:space="preserve">rule the contract is fully valid. </w:t>
      </w:r>
      <w:r>
        <w:t>A</w:t>
      </w:r>
      <w:r w:rsidRPr="00C655CF">
        <w:t xml:space="preserve"> contractor's agreement is binding once work </w:t>
      </w:r>
      <w:r>
        <w:t xml:space="preserve">begins </w:t>
      </w:r>
      <w:r w:rsidRPr="00C655CF">
        <w:t>or a down payment is made (</w:t>
      </w:r>
      <w:r>
        <w:t xml:space="preserve">see </w:t>
      </w:r>
      <w:r w:rsidRPr="00C655CF">
        <w:t xml:space="preserve">Shulchan </w:t>
      </w:r>
      <w:proofErr w:type="spellStart"/>
      <w:r w:rsidRPr="00C655CF">
        <w:t>Aruch</w:t>
      </w:r>
      <w:proofErr w:type="spellEnd"/>
      <w:r w:rsidRPr="00C655CF">
        <w:t xml:space="preserve">, </w:t>
      </w:r>
      <w:proofErr w:type="spellStart"/>
      <w:r w:rsidRPr="00C655CF">
        <w:t>Choshen</w:t>
      </w:r>
      <w:proofErr w:type="spellEnd"/>
      <w:r w:rsidRPr="00C655CF">
        <w:t xml:space="preserve"> </w:t>
      </w:r>
      <w:proofErr w:type="spellStart"/>
      <w:r w:rsidRPr="00C655CF">
        <w:t>Mishpat</w:t>
      </w:r>
      <w:proofErr w:type="spellEnd"/>
      <w:r w:rsidRPr="00C655CF">
        <w:t xml:space="preserve"> 333:1). </w:t>
      </w:r>
      <w:r>
        <w:t xml:space="preserve">Regarding the late payments, we see from the behavior of </w:t>
      </w:r>
      <w:r>
        <w:rPr>
          <w:i/>
          <w:iCs/>
        </w:rPr>
        <w:t>pl</w:t>
      </w:r>
      <w:r>
        <w:t xml:space="preserve"> all along, that they did not see in the delays a fundamental breach of contract. The matter of the inspector was also written into the contract for the benefit of </w:t>
      </w:r>
      <w:r>
        <w:rPr>
          <w:i/>
          <w:iCs/>
        </w:rPr>
        <w:t>def</w:t>
      </w:r>
      <w:r>
        <w:t xml:space="preserve">, so that he will be represented. If </w:t>
      </w:r>
      <w:r>
        <w:rPr>
          <w:i/>
          <w:iCs/>
        </w:rPr>
        <w:t>def</w:t>
      </w:r>
      <w:r>
        <w:t xml:space="preserve"> decided he did not want him anymore, this is not a breach of contract in regard to </w:t>
      </w:r>
      <w:r>
        <w:rPr>
          <w:i/>
          <w:iCs/>
        </w:rPr>
        <w:t>pl</w:t>
      </w:r>
      <w:r>
        <w:t xml:space="preserve">. </w:t>
      </w:r>
    </w:p>
    <w:p w14:paraId="7CBD703E" w14:textId="77777777" w:rsidR="00176B55" w:rsidRDefault="00176B55" w:rsidP="00176B55">
      <w:pPr>
        <w:bidi w:val="0"/>
        <w:ind w:firstLine="630"/>
      </w:pPr>
      <w:r>
        <w:rPr>
          <w:b/>
          <w:bCs/>
          <w:i/>
          <w:iCs/>
        </w:rPr>
        <w:t xml:space="preserve">Pl’s </w:t>
      </w:r>
      <w:r>
        <w:rPr>
          <w:b/>
          <w:bCs/>
        </w:rPr>
        <w:t xml:space="preserve">alleged </w:t>
      </w:r>
      <w:r w:rsidRPr="00874058">
        <w:rPr>
          <w:b/>
          <w:bCs/>
        </w:rPr>
        <w:t>breach</w:t>
      </w:r>
      <w:r>
        <w:rPr>
          <w:b/>
          <w:bCs/>
        </w:rPr>
        <w:t>es:</w:t>
      </w:r>
      <w:r w:rsidRPr="00874058">
        <w:rPr>
          <w:b/>
          <w:bCs/>
        </w:rPr>
        <w:t xml:space="preserve"> Unskilled labor</w:t>
      </w:r>
      <w:r>
        <w:rPr>
          <w:b/>
          <w:bCs/>
        </w:rPr>
        <w:t xml:space="preserve"> </w:t>
      </w:r>
      <w:r>
        <w:t>-</w:t>
      </w:r>
      <w:r>
        <w:rPr>
          <w:b/>
          <w:bCs/>
        </w:rPr>
        <w:t xml:space="preserve"> </w:t>
      </w:r>
      <w:r w:rsidRPr="00874058">
        <w:rPr>
          <w:i/>
          <w:iCs/>
        </w:rPr>
        <w:t>Def</w:t>
      </w:r>
      <w:r w:rsidRPr="00874058">
        <w:t xml:space="preserve"> claimed </w:t>
      </w:r>
      <w:r w:rsidRPr="00874058">
        <w:rPr>
          <w:i/>
          <w:iCs/>
        </w:rPr>
        <w:t>pl</w:t>
      </w:r>
      <w:r w:rsidRPr="00874058">
        <w:t xml:space="preserve"> violated the contract</w:t>
      </w:r>
      <w:r>
        <w:t>’s clause that requires skilled labor</w:t>
      </w:r>
      <w:r w:rsidRPr="00874058">
        <w:t xml:space="preserve"> by using an unskilled apprentice for plumbing and unqualified workers for roof sealing. </w:t>
      </w:r>
      <w:r w:rsidRPr="00874058">
        <w:rPr>
          <w:i/>
          <w:iCs/>
        </w:rPr>
        <w:t>Pl</w:t>
      </w:r>
      <w:r w:rsidRPr="00874058">
        <w:t xml:space="preserve"> countered that the plumber had years of experience and that </w:t>
      </w:r>
      <w:r>
        <w:t xml:space="preserve">an </w:t>
      </w:r>
      <w:r w:rsidRPr="00874058">
        <w:t xml:space="preserve">unexpected subcontractor cancellation forced him and his brother </w:t>
      </w:r>
      <w:r>
        <w:t xml:space="preserve">(who are skilled) </w:t>
      </w:r>
      <w:r w:rsidRPr="00874058">
        <w:t xml:space="preserve">to </w:t>
      </w:r>
      <w:r>
        <w:t xml:space="preserve">do </w:t>
      </w:r>
      <w:r w:rsidRPr="00874058">
        <w:t xml:space="preserve">the sealing themselves. </w:t>
      </w:r>
      <w:r w:rsidRPr="00874058">
        <w:rPr>
          <w:i/>
          <w:iCs/>
        </w:rPr>
        <w:t>Beit din</w:t>
      </w:r>
      <w:r w:rsidRPr="00874058">
        <w:t xml:space="preserve"> </w:t>
      </w:r>
      <w:r>
        <w:t xml:space="preserve">partially </w:t>
      </w:r>
      <w:r w:rsidRPr="00874058">
        <w:t>accepted the foreman</w:t>
      </w:r>
      <w:r>
        <w:t>’</w:t>
      </w:r>
      <w:r w:rsidRPr="00874058">
        <w:t>s testimony</w:t>
      </w:r>
      <w:r>
        <w:t xml:space="preserve"> that they did most of the work on the plumbing and in any case</w:t>
      </w:r>
      <w:r w:rsidRPr="00874058">
        <w:t xml:space="preserve">, defects </w:t>
      </w:r>
      <w:r>
        <w:t xml:space="preserve">regarding the plumbing were </w:t>
      </w:r>
      <w:r w:rsidRPr="00874058">
        <w:t xml:space="preserve">ultimately corrected. Regarding sealing, a </w:t>
      </w:r>
      <w:proofErr w:type="spellStart"/>
      <w:r>
        <w:rPr>
          <w:i/>
          <w:iCs/>
        </w:rPr>
        <w:t>kablan</w:t>
      </w:r>
      <w:proofErr w:type="spellEnd"/>
      <w:r>
        <w:rPr>
          <w:i/>
          <w:iCs/>
        </w:rPr>
        <w:t xml:space="preserve"> </w:t>
      </w:r>
      <w:r>
        <w:t>(</w:t>
      </w:r>
      <w:r w:rsidRPr="00874058">
        <w:t>contractor</w:t>
      </w:r>
      <w:r>
        <w:t>)</w:t>
      </w:r>
      <w:r w:rsidRPr="00874058">
        <w:t xml:space="preserve"> is legally distinct from a worker</w:t>
      </w:r>
      <w:r>
        <w:t xml:space="preserve">, not only in regard to how they are paid but in the fact that a </w:t>
      </w:r>
      <w:r w:rsidRPr="00874058">
        <w:t>contractor</w:t>
      </w:r>
      <w:r>
        <w:t>,</w:t>
      </w:r>
      <w:r w:rsidRPr="00874058">
        <w:t xml:space="preserve"> </w:t>
      </w:r>
      <w:r>
        <w:t xml:space="preserve">on the one hand is </w:t>
      </w:r>
      <w:r w:rsidRPr="00874058">
        <w:t>obligated to provide a successful final outcome</w:t>
      </w:r>
      <w:r>
        <w:t>, but on the other side of the coin,</w:t>
      </w:r>
      <w:r w:rsidRPr="00874058">
        <w:t xml:space="preserve"> </w:t>
      </w:r>
      <w:r>
        <w:t xml:space="preserve">has </w:t>
      </w:r>
      <w:r w:rsidRPr="00874058">
        <w:t>discretion over staffing (</w:t>
      </w:r>
      <w:r w:rsidRPr="00943FF5">
        <w:t xml:space="preserve">see </w:t>
      </w:r>
      <w:proofErr w:type="spellStart"/>
      <w:r w:rsidRPr="00874058">
        <w:t>Terumat</w:t>
      </w:r>
      <w:proofErr w:type="spellEnd"/>
      <w:r w:rsidRPr="00874058">
        <w:t xml:space="preserve"> </w:t>
      </w:r>
      <w:proofErr w:type="spellStart"/>
      <w:r w:rsidRPr="00874058">
        <w:t>HaDeshen</w:t>
      </w:r>
      <w:proofErr w:type="spellEnd"/>
      <w:r w:rsidRPr="00874058">
        <w:t xml:space="preserve"> 329). </w:t>
      </w:r>
      <w:r>
        <w:t xml:space="preserve">Part of the job of a </w:t>
      </w:r>
      <w:proofErr w:type="spellStart"/>
      <w:r>
        <w:rPr>
          <w:i/>
          <w:iCs/>
        </w:rPr>
        <w:t>kablan</w:t>
      </w:r>
      <w:proofErr w:type="spellEnd"/>
      <w:r>
        <w:rPr>
          <w:i/>
          <w:iCs/>
        </w:rPr>
        <w:t xml:space="preserve"> </w:t>
      </w:r>
      <w:r>
        <w:t xml:space="preserve">is to supervise the work of others, which there are indications he did. </w:t>
      </w:r>
      <w:r w:rsidRPr="00874058">
        <w:t>Thus, no immediate breach occurred, pending an expert evaluation of the sealing quality.</w:t>
      </w:r>
    </w:p>
    <w:p w14:paraId="0A8804C5" w14:textId="77777777" w:rsidR="00176B55" w:rsidRPr="00874058" w:rsidRDefault="00176B55" w:rsidP="00176B55">
      <w:pPr>
        <w:bidi w:val="0"/>
        <w:ind w:firstLine="630"/>
        <w:jc w:val="center"/>
        <w:rPr>
          <w:i/>
          <w:iCs/>
        </w:rPr>
      </w:pPr>
      <w:r w:rsidRPr="001358EB">
        <w:rPr>
          <w:i/>
          <w:iCs/>
        </w:rPr>
        <w:t>We continue next time with other elements of this initial ruling.</w:t>
      </w:r>
    </w:p>
    <w:p w14:paraId="4E3E8707" w14:textId="5933A1CD" w:rsidR="0060529C" w:rsidRDefault="0060529C" w:rsidP="002A7466">
      <w:pPr>
        <w:pStyle w:val="PlainText"/>
        <w:jc w:val="center"/>
        <w:rPr>
          <w:color w:val="365F91"/>
        </w:rPr>
      </w:pPr>
    </w:p>
    <w:p w14:paraId="0C8CAF3B" w14:textId="77777777" w:rsidR="00021FD4" w:rsidRDefault="00021FD4" w:rsidP="002A7466">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176B55"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2E958EF" w14:textId="5D05ACC7" w:rsidR="0060529C" w:rsidRDefault="0060529C" w:rsidP="00316F85">
      <w:pPr>
        <w:pStyle w:val="PlainText"/>
        <w:jc w:val="center"/>
      </w:pPr>
    </w:p>
    <w:p w14:paraId="3DC233F9" w14:textId="5E509D97" w:rsidR="0060529C" w:rsidRDefault="0060529C" w:rsidP="00316F85">
      <w:pPr>
        <w:pStyle w:val="PlainText"/>
        <w:jc w:val="center"/>
      </w:pPr>
    </w:p>
    <w:p w14:paraId="55BA844B" w14:textId="77777777" w:rsidR="0060529C" w:rsidRDefault="0060529C"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49"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Pr="00A504CA" w:rsidRDefault="00973C63" w:rsidP="0025079F">
    <w:pPr>
      <w:pStyle w:val="Header"/>
      <w:tabs>
        <w:tab w:val="left" w:pos="6738"/>
        <w:tab w:val="right" w:pos="10798"/>
      </w:tabs>
      <w:bidi w:val="0"/>
      <w:jc w:val="center"/>
      <w:rPr>
        <w:b/>
        <w:bCs/>
        <w:color w:val="D85640"/>
        <w:sz w:val="16"/>
        <w:szCs w:val="16"/>
      </w:rPr>
    </w:pPr>
    <w:r>
      <w:rPr>
        <w:b/>
        <w:bCs/>
        <w:color w:val="D85640"/>
        <w:sz w:val="28"/>
        <w:szCs w:val="28"/>
      </w:rPr>
      <w:tab/>
    </w:r>
    <w:r>
      <w:rPr>
        <w:b/>
        <w:bCs/>
        <w:color w:val="D85640"/>
        <w:sz w:val="28"/>
        <w:szCs w:val="28"/>
      </w:rPr>
      <w:tab/>
    </w:r>
    <w:r w:rsidR="00202AC2" w:rsidRPr="00A504CA">
      <w:rPr>
        <w:b/>
        <w:bCs/>
        <w:color w:val="D85640"/>
        <w:sz w:val="16"/>
        <w:szCs w:val="16"/>
      </w:rPr>
      <w:t xml:space="preserve">               </w:t>
    </w:r>
  </w:p>
  <w:p w14:paraId="7785D990" w14:textId="10743133" w:rsidR="00973C63" w:rsidRPr="00272AF1" w:rsidRDefault="00202AC2" w:rsidP="00A504CA">
    <w:pPr>
      <w:pStyle w:val="Header"/>
      <w:tabs>
        <w:tab w:val="left" w:pos="6738"/>
        <w:tab w:val="right" w:pos="10798"/>
      </w:tabs>
      <w:bidi w:val="0"/>
      <w:jc w:val="center"/>
      <w:rPr>
        <w:rFonts w:ascii="Tahoma" w:hAnsi="Tahoma" w:cs="Tahoma"/>
        <w:b/>
        <w:bCs/>
        <w:sz w:val="14"/>
        <w:szCs w:val="14"/>
      </w:rPr>
    </w:pPr>
    <w:r>
      <w:rPr>
        <w:b/>
        <w:bCs/>
        <w:color w:val="D85640"/>
        <w:sz w:val="26"/>
        <w:szCs w:val="26"/>
      </w:rPr>
      <w:t xml:space="preserve">                                                                                                        </w:t>
    </w:r>
    <w:r w:rsidR="00A504CA">
      <w:rPr>
        <w:b/>
        <w:bCs/>
        <w:color w:val="D85640"/>
        <w:sz w:val="26"/>
        <w:szCs w:val="26"/>
      </w:rPr>
      <w:t xml:space="preserve">            </w:t>
    </w:r>
    <w:proofErr w:type="spellStart"/>
    <w:r w:rsidR="00235976">
      <w:rPr>
        <w:b/>
        <w:bCs/>
        <w:color w:val="D85640"/>
        <w:sz w:val="26"/>
        <w:szCs w:val="26"/>
      </w:rPr>
      <w:t>Eikev</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21"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1FD4"/>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C4C"/>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2F46"/>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19"/>
    <w:rsid w:val="000C17E3"/>
    <w:rsid w:val="000C1E35"/>
    <w:rsid w:val="000C1F77"/>
    <w:rsid w:val="000C24E2"/>
    <w:rsid w:val="000C2C45"/>
    <w:rsid w:val="000C31B4"/>
    <w:rsid w:val="000C372D"/>
    <w:rsid w:val="000C39AA"/>
    <w:rsid w:val="000C3F70"/>
    <w:rsid w:val="000C4125"/>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2BF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6F06"/>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90"/>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1C57"/>
    <w:rsid w:val="00152798"/>
    <w:rsid w:val="001528C4"/>
    <w:rsid w:val="00152CCE"/>
    <w:rsid w:val="00152E30"/>
    <w:rsid w:val="00152F4C"/>
    <w:rsid w:val="00153DD2"/>
    <w:rsid w:val="00153DE2"/>
    <w:rsid w:val="00153F49"/>
    <w:rsid w:val="00154227"/>
    <w:rsid w:val="00154743"/>
    <w:rsid w:val="0015481D"/>
    <w:rsid w:val="00154FBA"/>
    <w:rsid w:val="00155827"/>
    <w:rsid w:val="00155C27"/>
    <w:rsid w:val="001560AB"/>
    <w:rsid w:val="00156927"/>
    <w:rsid w:val="00156CD4"/>
    <w:rsid w:val="00156F77"/>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6B55"/>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3C04"/>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8B5"/>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5976"/>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365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466"/>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53"/>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09E"/>
    <w:rsid w:val="003A2231"/>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3E77"/>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A63"/>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46C"/>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21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20"/>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1FFC"/>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29C"/>
    <w:rsid w:val="006054B1"/>
    <w:rsid w:val="00605B75"/>
    <w:rsid w:val="00605FC9"/>
    <w:rsid w:val="00606AC5"/>
    <w:rsid w:val="00607407"/>
    <w:rsid w:val="00607502"/>
    <w:rsid w:val="006076A8"/>
    <w:rsid w:val="006078B1"/>
    <w:rsid w:val="00607B3F"/>
    <w:rsid w:val="006101CA"/>
    <w:rsid w:val="00610395"/>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A79"/>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CBD"/>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CD3"/>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3F"/>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A04"/>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6C7E"/>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C67"/>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6A9"/>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BAD"/>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2D"/>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4CA"/>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31C"/>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B82"/>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D94"/>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07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1FA8"/>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17"/>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18A"/>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80E"/>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9B9"/>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8EB"/>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07B67"/>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3A9D"/>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AC3"/>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1DD4"/>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2D4"/>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046"/>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21"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uiPriority w:val="99"/>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2900</Words>
  <Characters>14505</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17371</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4</cp:revision>
  <cp:lastPrinted>2026-07-19T08:16:00Z</cp:lastPrinted>
  <dcterms:created xsi:type="dcterms:W3CDTF">2026-07-27T10:06:00Z</dcterms:created>
  <dcterms:modified xsi:type="dcterms:W3CDTF">2026-07-27T10:20:00Z</dcterms:modified>
</cp:coreProperties>
</file>